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numPr>
          <w:ilvl w:val="0"/>
          <w:numId w:val="0"/>
        </w:numPr>
        <w:bidi w:val="0"/>
        <w:ind w:leftChars="0"/>
        <w:jc w:val="center"/>
      </w:pPr>
      <w:bookmarkStart w:id="0" w:name="_Toc14242"/>
      <w:r>
        <w:rPr>
          <w:rFonts w:hint="eastAsia"/>
        </w:rPr>
        <w:t>云冈区城乡规划领域基层政务公开标准目录</w:t>
      </w:r>
      <w:bookmarkEnd w:id="0"/>
    </w:p>
    <w:tbl>
      <w:tblPr>
        <w:tblStyle w:val="20"/>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4"/>
        <w:gridCol w:w="623"/>
        <w:gridCol w:w="789"/>
        <w:gridCol w:w="1210"/>
        <w:gridCol w:w="1035"/>
        <w:gridCol w:w="941"/>
        <w:gridCol w:w="867"/>
        <w:gridCol w:w="1035"/>
        <w:gridCol w:w="2378"/>
        <w:gridCol w:w="603"/>
        <w:gridCol w:w="660"/>
        <w:gridCol w:w="496"/>
        <w:gridCol w:w="900"/>
        <w:gridCol w:w="344"/>
        <w:gridCol w:w="780"/>
        <w:gridCol w:w="10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153"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b/>
                <w:bCs/>
                <w:color w:val="000000"/>
                <w:kern w:val="0"/>
                <w:sz w:val="22"/>
              </w:rPr>
            </w:pPr>
            <w:r>
              <w:rPr>
                <w:rFonts w:hint="eastAsia" w:ascii="黑体" w:hAnsi="黑体" w:eastAsia="黑体" w:cs="黑体"/>
                <w:b/>
                <w:bCs/>
                <w:color w:val="000000"/>
                <w:kern w:val="0"/>
                <w:sz w:val="22"/>
              </w:rPr>
              <w:t>序号</w:t>
            </w:r>
          </w:p>
        </w:tc>
        <w:tc>
          <w:tcPr>
            <w:tcW w:w="498" w:type="pct"/>
            <w:gridSpan w:val="2"/>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b/>
                <w:bCs/>
                <w:color w:val="000000"/>
                <w:kern w:val="0"/>
                <w:sz w:val="22"/>
              </w:rPr>
            </w:pPr>
            <w:r>
              <w:rPr>
                <w:rFonts w:hint="eastAsia" w:ascii="黑体" w:hAnsi="黑体" w:eastAsia="黑体" w:cs="黑体"/>
                <w:b/>
                <w:bCs/>
                <w:color w:val="000000"/>
                <w:kern w:val="0"/>
                <w:sz w:val="22"/>
              </w:rPr>
              <w:t>公开事项</w:t>
            </w:r>
          </w:p>
        </w:tc>
        <w:tc>
          <w:tcPr>
            <w:tcW w:w="427"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b/>
                <w:bCs/>
                <w:color w:val="000000"/>
                <w:kern w:val="0"/>
                <w:sz w:val="22"/>
              </w:rPr>
            </w:pPr>
            <w:r>
              <w:rPr>
                <w:rFonts w:hint="eastAsia" w:ascii="黑体" w:hAnsi="黑体" w:eastAsia="黑体" w:cs="黑体"/>
                <w:b/>
                <w:bCs/>
                <w:color w:val="000000"/>
                <w:kern w:val="0"/>
                <w:sz w:val="22"/>
              </w:rPr>
              <w:t>公开内容（要素）</w:t>
            </w:r>
          </w:p>
        </w:tc>
        <w:tc>
          <w:tcPr>
            <w:tcW w:w="365"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b/>
                <w:bCs/>
                <w:color w:val="000000"/>
                <w:kern w:val="0"/>
                <w:sz w:val="22"/>
              </w:rPr>
            </w:pPr>
            <w:r>
              <w:rPr>
                <w:rFonts w:hint="eastAsia" w:ascii="黑体" w:hAnsi="黑体" w:eastAsia="黑体" w:cs="黑体"/>
                <w:b/>
                <w:bCs/>
                <w:color w:val="000000"/>
                <w:kern w:val="0"/>
                <w:sz w:val="22"/>
              </w:rPr>
              <w:t>公开</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b/>
                <w:bCs/>
                <w:color w:val="000000"/>
                <w:kern w:val="0"/>
                <w:sz w:val="22"/>
              </w:rPr>
            </w:pPr>
            <w:r>
              <w:rPr>
                <w:rFonts w:hint="eastAsia" w:ascii="黑体" w:hAnsi="黑体" w:eastAsia="黑体" w:cs="黑体"/>
                <w:b/>
                <w:bCs/>
                <w:color w:val="000000"/>
                <w:kern w:val="0"/>
                <w:sz w:val="22"/>
              </w:rPr>
              <w:t>依据</w:t>
            </w:r>
          </w:p>
        </w:tc>
        <w:tc>
          <w:tcPr>
            <w:tcW w:w="332"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b/>
                <w:bCs/>
                <w:color w:val="000000"/>
                <w:kern w:val="0"/>
                <w:sz w:val="22"/>
              </w:rPr>
            </w:pPr>
            <w:r>
              <w:rPr>
                <w:rFonts w:hint="eastAsia" w:ascii="黑体" w:hAnsi="黑体" w:eastAsia="黑体" w:cs="黑体"/>
                <w:b/>
                <w:bCs/>
                <w:color w:val="000000"/>
                <w:kern w:val="0"/>
                <w:sz w:val="22"/>
              </w:rPr>
              <w:t>公开</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b/>
                <w:bCs/>
                <w:color w:val="000000"/>
                <w:kern w:val="0"/>
                <w:sz w:val="22"/>
              </w:rPr>
            </w:pPr>
            <w:r>
              <w:rPr>
                <w:rFonts w:hint="eastAsia" w:ascii="黑体" w:hAnsi="黑体" w:eastAsia="黑体" w:cs="黑体"/>
                <w:b/>
                <w:bCs/>
                <w:color w:val="000000"/>
                <w:kern w:val="0"/>
                <w:sz w:val="22"/>
              </w:rPr>
              <w:t>时限</w:t>
            </w:r>
          </w:p>
        </w:tc>
        <w:tc>
          <w:tcPr>
            <w:tcW w:w="306"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b/>
                <w:bCs/>
                <w:color w:val="000000"/>
                <w:kern w:val="0"/>
                <w:sz w:val="22"/>
              </w:rPr>
            </w:pPr>
            <w:r>
              <w:rPr>
                <w:rFonts w:hint="eastAsia" w:ascii="黑体" w:hAnsi="黑体" w:eastAsia="黑体" w:cs="黑体"/>
                <w:b/>
                <w:bCs/>
                <w:color w:val="000000"/>
                <w:kern w:val="0"/>
                <w:sz w:val="22"/>
              </w:rPr>
              <w:t>公开主体</w:t>
            </w:r>
          </w:p>
        </w:tc>
        <w:tc>
          <w:tcPr>
            <w:tcW w:w="365"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黑体" w:hAnsi="黑体" w:eastAsia="黑体" w:cs="黑体"/>
                <w:b/>
                <w:bCs/>
                <w:kern w:val="0"/>
                <w:sz w:val="22"/>
                <w:lang w:val="en-US" w:eastAsia="zh-CN"/>
              </w:rPr>
            </w:pPr>
            <w:r>
              <w:rPr>
                <w:rFonts w:hint="eastAsia" w:ascii="黑体" w:hAnsi="黑体" w:eastAsia="黑体" w:cs="黑体"/>
                <w:b/>
                <w:bCs/>
                <w:kern w:val="0"/>
                <w:sz w:val="22"/>
                <w:lang w:val="en-US" w:eastAsia="zh-CN"/>
              </w:rPr>
              <w:t>责任股（室）</w:t>
            </w:r>
          </w:p>
        </w:tc>
        <w:tc>
          <w:tcPr>
            <w:tcW w:w="839"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b/>
                <w:bCs/>
                <w:kern w:val="0"/>
                <w:sz w:val="22"/>
              </w:rPr>
            </w:pPr>
            <w:r>
              <w:rPr>
                <w:rFonts w:hint="eastAsia" w:ascii="黑体" w:hAnsi="黑体" w:eastAsia="黑体" w:cs="黑体"/>
                <w:b/>
                <w:bCs/>
                <w:kern w:val="0"/>
                <w:sz w:val="22"/>
              </w:rPr>
              <w:t>公开渠道和载体</w:t>
            </w:r>
          </w:p>
        </w:tc>
        <w:tc>
          <w:tcPr>
            <w:tcW w:w="445" w:type="pct"/>
            <w:gridSpan w:val="2"/>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b/>
                <w:bCs/>
                <w:color w:val="000000"/>
                <w:kern w:val="0"/>
                <w:sz w:val="22"/>
              </w:rPr>
            </w:pPr>
            <w:r>
              <w:rPr>
                <w:rFonts w:hint="eastAsia" w:ascii="黑体" w:hAnsi="黑体" w:eastAsia="黑体" w:cs="黑体"/>
                <w:b/>
                <w:bCs/>
                <w:color w:val="000000"/>
                <w:kern w:val="0"/>
                <w:sz w:val="22"/>
              </w:rPr>
              <w:t>公开对象</w:t>
            </w:r>
          </w:p>
        </w:tc>
        <w:tc>
          <w:tcPr>
            <w:tcW w:w="492" w:type="pct"/>
            <w:gridSpan w:val="2"/>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b/>
                <w:bCs/>
                <w:color w:val="000000"/>
                <w:kern w:val="0"/>
                <w:sz w:val="22"/>
              </w:rPr>
            </w:pPr>
            <w:r>
              <w:rPr>
                <w:rFonts w:hint="eastAsia" w:ascii="黑体" w:hAnsi="黑体" w:eastAsia="黑体" w:cs="黑体"/>
                <w:b/>
                <w:bCs/>
                <w:color w:val="000000"/>
                <w:kern w:val="0"/>
                <w:sz w:val="22"/>
              </w:rPr>
              <w:t>公开方式</w:t>
            </w:r>
          </w:p>
        </w:tc>
        <w:tc>
          <w:tcPr>
            <w:tcW w:w="396" w:type="pct"/>
            <w:gridSpan w:val="2"/>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b/>
                <w:bCs/>
                <w:color w:val="000000"/>
                <w:kern w:val="0"/>
                <w:sz w:val="22"/>
              </w:rPr>
            </w:pPr>
            <w:r>
              <w:rPr>
                <w:rFonts w:hint="eastAsia" w:ascii="黑体" w:hAnsi="黑体" w:eastAsia="黑体" w:cs="黑体"/>
                <w:b/>
                <w:bCs/>
                <w:color w:val="000000"/>
                <w:kern w:val="0"/>
                <w:sz w:val="22"/>
              </w:rPr>
              <w:t>公开层级</w:t>
            </w:r>
          </w:p>
        </w:tc>
        <w:tc>
          <w:tcPr>
            <w:tcW w:w="377"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b/>
                <w:bCs/>
                <w:color w:val="000000"/>
                <w:kern w:val="0"/>
                <w:sz w:val="22"/>
              </w:rPr>
            </w:pPr>
            <w:r>
              <w:rPr>
                <w:rFonts w:hint="eastAsia" w:ascii="黑体" w:hAnsi="黑体" w:eastAsia="黑体" w:cs="黑体"/>
                <w:b/>
                <w:bCs/>
                <w:color w:val="000000"/>
                <w:kern w:val="0"/>
                <w:sz w:val="22"/>
              </w:rPr>
              <w:t>咨询</w:t>
            </w:r>
            <w:r>
              <w:rPr>
                <w:rFonts w:hint="eastAsia" w:ascii="黑体" w:hAnsi="黑体" w:eastAsia="黑体" w:cs="黑体"/>
                <w:b/>
                <w:bCs/>
                <w:color w:val="000000"/>
                <w:kern w:val="0"/>
                <w:sz w:val="22"/>
                <w:lang w:val="en-US" w:eastAsia="zh-CN"/>
              </w:rPr>
              <w:t>及监督</w:t>
            </w:r>
            <w:r>
              <w:rPr>
                <w:rFonts w:hint="eastAsia" w:ascii="黑体" w:hAnsi="黑体" w:eastAsia="黑体" w:cs="黑体"/>
                <w:b/>
                <w:bCs/>
                <w:color w:val="000000"/>
                <w:kern w:val="0"/>
                <w:sz w:val="22"/>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153"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ascii="Times New Roman" w:hAnsi="Times New Roman"/>
                <w:color w:val="000000"/>
                <w:kern w:val="0"/>
                <w:sz w:val="22"/>
              </w:rPr>
            </w:pPr>
          </w:p>
        </w:tc>
        <w:tc>
          <w:tcPr>
            <w:tcW w:w="219"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黑体" w:hAnsi="宋体" w:eastAsia="黑体" w:cs="宋体"/>
                <w:b/>
                <w:bCs/>
                <w:color w:val="000000"/>
                <w:kern w:val="0"/>
                <w:sz w:val="22"/>
              </w:rPr>
            </w:pPr>
            <w:r>
              <w:rPr>
                <w:rFonts w:hint="eastAsia" w:ascii="黑体" w:hAnsi="宋体" w:eastAsia="黑体" w:cs="宋体"/>
                <w:b/>
                <w:bCs/>
                <w:color w:val="000000"/>
                <w:kern w:val="0"/>
                <w:sz w:val="22"/>
              </w:rPr>
              <w:t>一级事项</w:t>
            </w:r>
          </w:p>
        </w:tc>
        <w:tc>
          <w:tcPr>
            <w:tcW w:w="278"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黑体" w:hAnsi="宋体" w:eastAsia="黑体" w:cs="宋体"/>
                <w:b/>
                <w:bCs/>
                <w:color w:val="000000"/>
                <w:kern w:val="0"/>
                <w:sz w:val="22"/>
              </w:rPr>
            </w:pPr>
            <w:r>
              <w:rPr>
                <w:rFonts w:hint="eastAsia" w:ascii="黑体" w:hAnsi="宋体" w:eastAsia="黑体" w:cs="宋体"/>
                <w:b/>
                <w:bCs/>
                <w:color w:val="000000"/>
                <w:kern w:val="0"/>
                <w:sz w:val="22"/>
              </w:rPr>
              <w:t>二级事项</w:t>
            </w:r>
          </w:p>
        </w:tc>
        <w:tc>
          <w:tcPr>
            <w:tcW w:w="427"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ascii="黑体" w:hAnsi="宋体" w:eastAsia="黑体" w:cs="宋体"/>
                <w:color w:val="000000"/>
                <w:kern w:val="0"/>
                <w:sz w:val="22"/>
              </w:rPr>
            </w:pPr>
          </w:p>
        </w:tc>
        <w:tc>
          <w:tcPr>
            <w:tcW w:w="365"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ascii="黑体" w:hAnsi="宋体" w:eastAsia="黑体" w:cs="宋体"/>
                <w:color w:val="000000"/>
                <w:kern w:val="0"/>
                <w:sz w:val="22"/>
              </w:rPr>
            </w:pPr>
          </w:p>
        </w:tc>
        <w:tc>
          <w:tcPr>
            <w:tcW w:w="332"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ascii="黑体" w:hAnsi="宋体" w:eastAsia="黑体" w:cs="宋体"/>
                <w:color w:val="000000"/>
                <w:kern w:val="0"/>
                <w:sz w:val="22"/>
              </w:rPr>
            </w:pPr>
          </w:p>
        </w:tc>
        <w:tc>
          <w:tcPr>
            <w:tcW w:w="30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ascii="黑体" w:hAnsi="宋体" w:eastAsia="黑体" w:cs="宋体"/>
                <w:color w:val="000000"/>
                <w:kern w:val="0"/>
                <w:sz w:val="22"/>
              </w:rPr>
            </w:pPr>
          </w:p>
        </w:tc>
        <w:tc>
          <w:tcPr>
            <w:tcW w:w="365"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ascii="黑体" w:hAnsi="宋体" w:eastAsia="黑体" w:cs="宋体"/>
                <w:kern w:val="0"/>
                <w:sz w:val="22"/>
              </w:rPr>
            </w:pPr>
          </w:p>
        </w:tc>
        <w:tc>
          <w:tcPr>
            <w:tcW w:w="839"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ascii="黑体" w:hAnsi="宋体" w:eastAsia="黑体" w:cs="宋体"/>
                <w:kern w:val="0"/>
                <w:sz w:val="22"/>
              </w:rPr>
            </w:pPr>
          </w:p>
        </w:tc>
        <w:tc>
          <w:tcPr>
            <w:tcW w:w="212"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黑体" w:hAnsi="宋体" w:eastAsia="黑体" w:cs="宋体"/>
                <w:b/>
                <w:bCs/>
                <w:color w:val="000000"/>
                <w:kern w:val="0"/>
                <w:sz w:val="22"/>
              </w:rPr>
            </w:pPr>
            <w:r>
              <w:rPr>
                <w:rFonts w:hint="eastAsia" w:ascii="黑体" w:hAnsi="宋体" w:eastAsia="黑体" w:cs="宋体"/>
                <w:b/>
                <w:bCs/>
                <w:color w:val="000000"/>
                <w:kern w:val="0"/>
                <w:sz w:val="22"/>
              </w:rPr>
              <w:t>全社会</w:t>
            </w:r>
          </w:p>
        </w:tc>
        <w:tc>
          <w:tcPr>
            <w:tcW w:w="233"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黑体" w:hAnsi="宋体" w:eastAsia="黑体" w:cs="宋体"/>
                <w:b/>
                <w:bCs/>
                <w:color w:val="000000"/>
                <w:kern w:val="0"/>
                <w:sz w:val="22"/>
              </w:rPr>
            </w:pPr>
            <w:r>
              <w:rPr>
                <w:rFonts w:hint="eastAsia" w:ascii="黑体" w:hAnsi="宋体" w:eastAsia="黑体" w:cs="宋体"/>
                <w:b/>
                <w:bCs/>
                <w:color w:val="000000"/>
                <w:kern w:val="0"/>
                <w:sz w:val="22"/>
              </w:rPr>
              <w:t>特定群众</w:t>
            </w:r>
          </w:p>
        </w:tc>
        <w:tc>
          <w:tcPr>
            <w:tcW w:w="17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黑体" w:hAnsi="宋体" w:eastAsia="黑体" w:cs="宋体"/>
                <w:b/>
                <w:bCs/>
                <w:color w:val="000000"/>
                <w:kern w:val="0"/>
                <w:sz w:val="22"/>
              </w:rPr>
            </w:pPr>
            <w:r>
              <w:rPr>
                <w:rFonts w:hint="eastAsia" w:ascii="黑体" w:hAnsi="宋体" w:eastAsia="黑体" w:cs="宋体"/>
                <w:b/>
                <w:bCs/>
                <w:color w:val="000000"/>
                <w:kern w:val="0"/>
                <w:sz w:val="22"/>
              </w:rPr>
              <w:t>主动</w:t>
            </w:r>
          </w:p>
        </w:tc>
        <w:tc>
          <w:tcPr>
            <w:tcW w:w="317"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黑体" w:hAnsi="宋体" w:eastAsia="黑体" w:cs="宋体"/>
                <w:b/>
                <w:bCs/>
                <w:color w:val="000000"/>
                <w:kern w:val="0"/>
                <w:sz w:val="22"/>
              </w:rPr>
            </w:pPr>
            <w:r>
              <w:rPr>
                <w:rFonts w:hint="eastAsia" w:ascii="黑体" w:hAnsi="宋体" w:eastAsia="黑体" w:cs="宋体"/>
                <w:b/>
                <w:bCs/>
                <w:color w:val="000000"/>
                <w:kern w:val="0"/>
                <w:sz w:val="22"/>
              </w:rPr>
              <w:t>依申请公开</w:t>
            </w:r>
          </w:p>
        </w:tc>
        <w:tc>
          <w:tcPr>
            <w:tcW w:w="121"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黑体" w:hAnsi="宋体" w:eastAsia="黑体" w:cs="宋体"/>
                <w:b/>
                <w:bCs/>
                <w:color w:val="000000"/>
                <w:kern w:val="0"/>
                <w:sz w:val="22"/>
              </w:rPr>
            </w:pPr>
            <w:r>
              <w:rPr>
                <w:rFonts w:hint="eastAsia" w:ascii="黑体" w:hAnsi="宋体" w:eastAsia="黑体" w:cs="宋体"/>
                <w:b/>
                <w:bCs/>
                <w:color w:val="000000"/>
                <w:kern w:val="0"/>
                <w:sz w:val="22"/>
              </w:rPr>
              <w:t>县级</w:t>
            </w:r>
          </w:p>
        </w:tc>
        <w:tc>
          <w:tcPr>
            <w:tcW w:w="27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黑体" w:hAnsi="宋体" w:eastAsia="黑体" w:cs="宋体"/>
                <w:b/>
                <w:bCs/>
                <w:color w:val="000000"/>
                <w:kern w:val="0"/>
                <w:sz w:val="22"/>
              </w:rPr>
            </w:pPr>
            <w:r>
              <w:rPr>
                <w:rFonts w:hint="eastAsia" w:ascii="黑体" w:hAnsi="宋体" w:eastAsia="黑体" w:cs="宋体"/>
                <w:b/>
                <w:bCs/>
                <w:color w:val="000000"/>
                <w:kern w:val="0"/>
                <w:sz w:val="22"/>
              </w:rPr>
              <w:t>乡、村级</w:t>
            </w:r>
          </w:p>
        </w:tc>
        <w:tc>
          <w:tcPr>
            <w:tcW w:w="377" w:type="pct"/>
            <w:vMerge w:val="continue"/>
            <w:noWrap w:val="0"/>
            <w:vAlign w:val="top"/>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宋体" w:eastAsia="黑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153"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1</w:t>
            </w:r>
          </w:p>
        </w:tc>
        <w:tc>
          <w:tcPr>
            <w:tcW w:w="219"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公共</w:t>
            </w:r>
          </w:p>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服务</w:t>
            </w:r>
          </w:p>
        </w:tc>
        <w:tc>
          <w:tcPr>
            <w:tcW w:w="278"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法规文件</w:t>
            </w:r>
          </w:p>
        </w:tc>
        <w:tc>
          <w:tcPr>
            <w:tcW w:w="427"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城乡规划领域相关法律、法规、规章、规范性文件</w:t>
            </w:r>
          </w:p>
        </w:tc>
        <w:tc>
          <w:tcPr>
            <w:tcW w:w="36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《城乡规划法》、《政府信息公开条例》</w:t>
            </w:r>
          </w:p>
        </w:tc>
        <w:tc>
          <w:tcPr>
            <w:tcW w:w="332"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信息形成或者变更之日起20个工作日内</w:t>
            </w:r>
          </w:p>
        </w:tc>
        <w:tc>
          <w:tcPr>
            <w:tcW w:w="306"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自然资源管理部门</w:t>
            </w:r>
          </w:p>
        </w:tc>
        <w:tc>
          <w:tcPr>
            <w:tcW w:w="36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城乡规划科</w:t>
            </w:r>
          </w:p>
        </w:tc>
        <w:tc>
          <w:tcPr>
            <w:tcW w:w="839"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 xml:space="preserve">■政府网站  ■两微一端 </w:t>
            </w:r>
          </w:p>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■纸质载体  ■公开查阅点</w:t>
            </w:r>
          </w:p>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 xml:space="preserve">■政府服务中心    </w:t>
            </w:r>
          </w:p>
        </w:tc>
        <w:tc>
          <w:tcPr>
            <w:tcW w:w="212"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w:t>
            </w:r>
          </w:p>
        </w:tc>
        <w:tc>
          <w:tcPr>
            <w:tcW w:w="233"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p>
        </w:tc>
        <w:tc>
          <w:tcPr>
            <w:tcW w:w="17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w:t>
            </w:r>
          </w:p>
        </w:tc>
        <w:tc>
          <w:tcPr>
            <w:tcW w:w="317"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p>
        </w:tc>
        <w:tc>
          <w:tcPr>
            <w:tcW w:w="121"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w:t>
            </w:r>
          </w:p>
        </w:tc>
        <w:tc>
          <w:tcPr>
            <w:tcW w:w="27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p>
        </w:tc>
        <w:tc>
          <w:tcPr>
            <w:tcW w:w="377" w:type="pct"/>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sz w:val="18"/>
                <w:szCs w:val="18"/>
              </w:rPr>
            </w:pPr>
            <w:r>
              <w:rPr>
                <w:rFonts w:hint="eastAsia" w:ascii="仿宋" w:hAnsi="仿宋" w:eastAsia="仿宋" w:cs="仿宋"/>
                <w:sz w:val="18"/>
                <w:szCs w:val="18"/>
              </w:rPr>
              <w:t>13934457654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153"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2</w:t>
            </w:r>
          </w:p>
        </w:tc>
        <w:tc>
          <w:tcPr>
            <w:tcW w:w="219" w:type="pct"/>
            <w:vMerge w:val="continue"/>
            <w:noWrap w:val="0"/>
            <w:vAlign w:val="center"/>
          </w:tcPr>
          <w:p>
            <w:pPr>
              <w:keepNext w:val="0"/>
              <w:keepLines w:val="0"/>
              <w:pageBreakBefore w:val="0"/>
              <w:kinsoku/>
              <w:wordWrap/>
              <w:overflowPunct/>
              <w:topLinePunct w:val="0"/>
              <w:autoSpaceDE/>
              <w:autoSpaceDN/>
              <w:bidi w:val="0"/>
              <w:adjustRightInd/>
              <w:snapToGrid/>
              <w:spacing w:line="300" w:lineRule="exact"/>
              <w:jc w:val="left"/>
              <w:textAlignment w:val="auto"/>
              <w:rPr>
                <w:rFonts w:hint="eastAsia" w:ascii="仿宋" w:hAnsi="仿宋" w:eastAsia="仿宋" w:cs="仿宋"/>
                <w:color w:val="000000"/>
                <w:sz w:val="18"/>
                <w:szCs w:val="18"/>
              </w:rPr>
            </w:pPr>
          </w:p>
        </w:tc>
        <w:tc>
          <w:tcPr>
            <w:tcW w:w="278"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政民互动</w:t>
            </w:r>
          </w:p>
        </w:tc>
        <w:tc>
          <w:tcPr>
            <w:tcW w:w="427"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城乡规划事项的意见征集、咨询、信访等</w:t>
            </w:r>
          </w:p>
        </w:tc>
        <w:tc>
          <w:tcPr>
            <w:tcW w:w="36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《政府信息公开条例》</w:t>
            </w:r>
          </w:p>
        </w:tc>
        <w:tc>
          <w:tcPr>
            <w:tcW w:w="332"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实时公开</w:t>
            </w:r>
          </w:p>
        </w:tc>
        <w:tc>
          <w:tcPr>
            <w:tcW w:w="306"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自然资源管理部门</w:t>
            </w:r>
          </w:p>
        </w:tc>
        <w:tc>
          <w:tcPr>
            <w:tcW w:w="36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城乡规划科</w:t>
            </w:r>
          </w:p>
        </w:tc>
        <w:tc>
          <w:tcPr>
            <w:tcW w:w="839"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 xml:space="preserve">■政府网站  ■两微一端 </w:t>
            </w:r>
          </w:p>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 xml:space="preserve">■广播电视 </w:t>
            </w:r>
          </w:p>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 xml:space="preserve">■公开查阅点■政府服务中心  </w:t>
            </w:r>
          </w:p>
        </w:tc>
        <w:tc>
          <w:tcPr>
            <w:tcW w:w="212"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w:t>
            </w:r>
          </w:p>
        </w:tc>
        <w:tc>
          <w:tcPr>
            <w:tcW w:w="233"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p>
        </w:tc>
        <w:tc>
          <w:tcPr>
            <w:tcW w:w="17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w:t>
            </w:r>
          </w:p>
        </w:tc>
        <w:tc>
          <w:tcPr>
            <w:tcW w:w="317"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p>
        </w:tc>
        <w:tc>
          <w:tcPr>
            <w:tcW w:w="121"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w:t>
            </w:r>
          </w:p>
        </w:tc>
        <w:tc>
          <w:tcPr>
            <w:tcW w:w="27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p>
        </w:tc>
        <w:tc>
          <w:tcPr>
            <w:tcW w:w="377"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sz w:val="18"/>
                <w:szCs w:val="18"/>
              </w:rPr>
              <w:t>13934457654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153"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3</w:t>
            </w:r>
          </w:p>
        </w:tc>
        <w:tc>
          <w:tcPr>
            <w:tcW w:w="219"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 w:hAnsi="仿宋" w:eastAsia="仿宋" w:cs="仿宋"/>
                <w:color w:val="000000"/>
                <w:sz w:val="18"/>
                <w:szCs w:val="18"/>
              </w:rPr>
            </w:pPr>
          </w:p>
        </w:tc>
        <w:tc>
          <w:tcPr>
            <w:tcW w:w="278"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办事服务</w:t>
            </w:r>
          </w:p>
        </w:tc>
        <w:tc>
          <w:tcPr>
            <w:tcW w:w="427"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行政许可的事项、依据、条件、数量、程序、期限以及申请行政许可需要提交的全部材料目录</w:t>
            </w:r>
          </w:p>
        </w:tc>
        <w:tc>
          <w:tcPr>
            <w:tcW w:w="36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《政府信息公开条例》</w:t>
            </w:r>
          </w:p>
        </w:tc>
        <w:tc>
          <w:tcPr>
            <w:tcW w:w="332"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实时公开</w:t>
            </w:r>
          </w:p>
        </w:tc>
        <w:tc>
          <w:tcPr>
            <w:tcW w:w="306"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自然资源管理部门</w:t>
            </w:r>
          </w:p>
        </w:tc>
        <w:tc>
          <w:tcPr>
            <w:tcW w:w="36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城乡规划科</w:t>
            </w:r>
          </w:p>
        </w:tc>
        <w:tc>
          <w:tcPr>
            <w:tcW w:w="839"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 xml:space="preserve">■政府网站  ■两微一端 </w:t>
            </w:r>
          </w:p>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 xml:space="preserve">■公开查阅点■政府服务中心 </w:t>
            </w:r>
          </w:p>
        </w:tc>
        <w:tc>
          <w:tcPr>
            <w:tcW w:w="212"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w:t>
            </w:r>
          </w:p>
        </w:tc>
        <w:tc>
          <w:tcPr>
            <w:tcW w:w="233"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p>
        </w:tc>
        <w:tc>
          <w:tcPr>
            <w:tcW w:w="17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w:t>
            </w:r>
          </w:p>
        </w:tc>
        <w:tc>
          <w:tcPr>
            <w:tcW w:w="317"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p>
        </w:tc>
        <w:tc>
          <w:tcPr>
            <w:tcW w:w="121"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w:t>
            </w:r>
          </w:p>
        </w:tc>
        <w:tc>
          <w:tcPr>
            <w:tcW w:w="27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p>
        </w:tc>
        <w:tc>
          <w:tcPr>
            <w:tcW w:w="377"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sz w:val="18"/>
                <w:szCs w:val="18"/>
              </w:rPr>
              <w:t>13934457654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153"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4</w:t>
            </w:r>
          </w:p>
        </w:tc>
        <w:tc>
          <w:tcPr>
            <w:tcW w:w="219" w:type="pct"/>
            <w:vMerge w:val="restart"/>
            <w:noWrap w:val="0"/>
            <w:vAlign w:val="center"/>
          </w:tcPr>
          <w:p>
            <w:pPr>
              <w:keepNext w:val="0"/>
              <w:keepLines w:val="0"/>
              <w:pageBreakBefore w:val="0"/>
              <w:kinsoku/>
              <w:wordWrap/>
              <w:overflowPunct/>
              <w:topLinePunct w:val="0"/>
              <w:autoSpaceDE/>
              <w:autoSpaceDN/>
              <w:bidi w:val="0"/>
              <w:adjustRightInd/>
              <w:snapToGrid/>
              <w:spacing w:line="300" w:lineRule="exact"/>
              <w:jc w:val="lef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规划编制</w:t>
            </w:r>
          </w:p>
        </w:tc>
        <w:tc>
          <w:tcPr>
            <w:tcW w:w="278"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城市、镇总体规划及同级的土地利用规划</w:t>
            </w:r>
          </w:p>
        </w:tc>
        <w:tc>
          <w:tcPr>
            <w:tcW w:w="427"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规划批准文件、脱密后的文本及图纸等</w:t>
            </w:r>
          </w:p>
        </w:tc>
        <w:tc>
          <w:tcPr>
            <w:tcW w:w="36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《中华人民共和国土地管理法》、《城乡规划法》、《政府信息公开条例》</w:t>
            </w:r>
          </w:p>
        </w:tc>
        <w:tc>
          <w:tcPr>
            <w:tcW w:w="332"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信息形成或者变更之日起20个工作日内</w:t>
            </w:r>
          </w:p>
        </w:tc>
        <w:tc>
          <w:tcPr>
            <w:tcW w:w="306"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自然资源管理部门</w:t>
            </w:r>
          </w:p>
        </w:tc>
        <w:tc>
          <w:tcPr>
            <w:tcW w:w="36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城乡规划科</w:t>
            </w:r>
          </w:p>
        </w:tc>
        <w:tc>
          <w:tcPr>
            <w:tcW w:w="839"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■政府网站  ■两微一端</w:t>
            </w:r>
          </w:p>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■公开查阅点</w:t>
            </w:r>
            <w:r>
              <w:rPr>
                <w:rFonts w:hint="eastAsia" w:ascii="仿宋" w:hAnsi="仿宋" w:eastAsia="仿宋" w:cs="仿宋"/>
                <w:color w:val="000000"/>
                <w:sz w:val="18"/>
                <w:szCs w:val="18"/>
              </w:rPr>
              <w:br w:type="textWrapping"/>
            </w:r>
            <w:r>
              <w:rPr>
                <w:rFonts w:hint="eastAsia" w:ascii="仿宋" w:hAnsi="仿宋" w:eastAsia="仿宋" w:cs="仿宋"/>
                <w:color w:val="000000"/>
                <w:sz w:val="18"/>
                <w:szCs w:val="18"/>
              </w:rPr>
              <w:t>■政府服务中心</w:t>
            </w:r>
          </w:p>
        </w:tc>
        <w:tc>
          <w:tcPr>
            <w:tcW w:w="212"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w:t>
            </w:r>
          </w:p>
        </w:tc>
        <w:tc>
          <w:tcPr>
            <w:tcW w:w="233"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p>
        </w:tc>
        <w:tc>
          <w:tcPr>
            <w:tcW w:w="17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w:t>
            </w:r>
          </w:p>
        </w:tc>
        <w:tc>
          <w:tcPr>
            <w:tcW w:w="317"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p>
        </w:tc>
        <w:tc>
          <w:tcPr>
            <w:tcW w:w="121"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w:t>
            </w:r>
          </w:p>
        </w:tc>
        <w:tc>
          <w:tcPr>
            <w:tcW w:w="27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p>
        </w:tc>
        <w:tc>
          <w:tcPr>
            <w:tcW w:w="377"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sz w:val="18"/>
                <w:szCs w:val="18"/>
              </w:rPr>
              <w:t>13934457654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153"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5</w:t>
            </w:r>
          </w:p>
        </w:tc>
        <w:tc>
          <w:tcPr>
            <w:tcW w:w="219" w:type="pct"/>
            <w:vMerge w:val="continue"/>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p>
        </w:tc>
        <w:tc>
          <w:tcPr>
            <w:tcW w:w="278"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乡规划及同级的土地利用规划</w:t>
            </w:r>
          </w:p>
        </w:tc>
        <w:tc>
          <w:tcPr>
            <w:tcW w:w="427"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脱密后的文本及图纸等</w:t>
            </w:r>
          </w:p>
        </w:tc>
        <w:tc>
          <w:tcPr>
            <w:tcW w:w="36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《中华人民共和国土地管理法》、《城乡规划法》、《政府信息公开条例》</w:t>
            </w:r>
          </w:p>
        </w:tc>
        <w:tc>
          <w:tcPr>
            <w:tcW w:w="332"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信息形成或者变更之日起20个工作日内</w:t>
            </w:r>
          </w:p>
        </w:tc>
        <w:tc>
          <w:tcPr>
            <w:tcW w:w="306"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自然资源管理部门</w:t>
            </w:r>
          </w:p>
        </w:tc>
        <w:tc>
          <w:tcPr>
            <w:tcW w:w="36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城乡规划科</w:t>
            </w:r>
          </w:p>
        </w:tc>
        <w:tc>
          <w:tcPr>
            <w:tcW w:w="839"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■政府网站  ■两微一端</w:t>
            </w:r>
          </w:p>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■公开查阅点■政府服务中心</w:t>
            </w:r>
          </w:p>
        </w:tc>
        <w:tc>
          <w:tcPr>
            <w:tcW w:w="212"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w:t>
            </w:r>
          </w:p>
        </w:tc>
        <w:tc>
          <w:tcPr>
            <w:tcW w:w="233"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p>
        </w:tc>
        <w:tc>
          <w:tcPr>
            <w:tcW w:w="17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w:t>
            </w:r>
          </w:p>
        </w:tc>
        <w:tc>
          <w:tcPr>
            <w:tcW w:w="317"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p>
        </w:tc>
        <w:tc>
          <w:tcPr>
            <w:tcW w:w="121"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w:t>
            </w:r>
          </w:p>
        </w:tc>
        <w:tc>
          <w:tcPr>
            <w:tcW w:w="27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p>
        </w:tc>
        <w:tc>
          <w:tcPr>
            <w:tcW w:w="377"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sz w:val="18"/>
                <w:szCs w:val="18"/>
              </w:rPr>
              <w:t>13934457654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153"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6</w:t>
            </w:r>
          </w:p>
        </w:tc>
        <w:tc>
          <w:tcPr>
            <w:tcW w:w="219"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p>
        </w:tc>
        <w:tc>
          <w:tcPr>
            <w:tcW w:w="278"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城市、镇详细规划</w:t>
            </w:r>
          </w:p>
        </w:tc>
        <w:tc>
          <w:tcPr>
            <w:tcW w:w="427"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脱密后的文本及图表等</w:t>
            </w:r>
          </w:p>
        </w:tc>
        <w:tc>
          <w:tcPr>
            <w:tcW w:w="36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《城乡规划法》、《政府信息公开条例》</w:t>
            </w:r>
          </w:p>
        </w:tc>
        <w:tc>
          <w:tcPr>
            <w:tcW w:w="332"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信息形成或者变更之日起20个工作日内</w:t>
            </w:r>
          </w:p>
        </w:tc>
        <w:tc>
          <w:tcPr>
            <w:tcW w:w="306"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自然资源管理部门</w:t>
            </w:r>
          </w:p>
        </w:tc>
        <w:tc>
          <w:tcPr>
            <w:tcW w:w="36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城乡规划科</w:t>
            </w:r>
          </w:p>
        </w:tc>
        <w:tc>
          <w:tcPr>
            <w:tcW w:w="839"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 xml:space="preserve">■政府网站  ■两微一端 </w:t>
            </w:r>
          </w:p>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 xml:space="preserve">■公开查阅点■政府服务中心 </w:t>
            </w:r>
          </w:p>
        </w:tc>
        <w:tc>
          <w:tcPr>
            <w:tcW w:w="212"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w:t>
            </w:r>
          </w:p>
        </w:tc>
        <w:tc>
          <w:tcPr>
            <w:tcW w:w="233"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p>
        </w:tc>
        <w:tc>
          <w:tcPr>
            <w:tcW w:w="17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w:t>
            </w:r>
          </w:p>
        </w:tc>
        <w:tc>
          <w:tcPr>
            <w:tcW w:w="317"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p>
        </w:tc>
        <w:tc>
          <w:tcPr>
            <w:tcW w:w="121"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w:t>
            </w:r>
          </w:p>
        </w:tc>
        <w:tc>
          <w:tcPr>
            <w:tcW w:w="27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p>
        </w:tc>
        <w:tc>
          <w:tcPr>
            <w:tcW w:w="377"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sz w:val="18"/>
                <w:szCs w:val="18"/>
              </w:rPr>
              <w:t>13934457654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153"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7</w:t>
            </w:r>
          </w:p>
        </w:tc>
        <w:tc>
          <w:tcPr>
            <w:tcW w:w="219"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规划编制</w:t>
            </w:r>
          </w:p>
        </w:tc>
        <w:tc>
          <w:tcPr>
            <w:tcW w:w="278"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部分村庄编制完成的村庄规划、村土地利用规划</w:t>
            </w:r>
          </w:p>
        </w:tc>
        <w:tc>
          <w:tcPr>
            <w:tcW w:w="427"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脱密后的文本及附图等</w:t>
            </w:r>
          </w:p>
        </w:tc>
        <w:tc>
          <w:tcPr>
            <w:tcW w:w="36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《中华人民共和国土地管理法》</w:t>
            </w:r>
            <w:bookmarkStart w:id="1" w:name="_GoBack"/>
            <w:bookmarkEnd w:id="1"/>
            <w:r>
              <w:rPr>
                <w:rFonts w:hint="eastAsia" w:ascii="仿宋" w:hAnsi="仿宋" w:eastAsia="仿宋" w:cs="仿宋"/>
                <w:color w:val="000000"/>
                <w:sz w:val="18"/>
                <w:szCs w:val="18"/>
              </w:rPr>
              <w:t>、《城乡规划法》、《政府信息公开条例》、《国土资源部关于有序开展村土地利用规划编制工作的指导意见》</w:t>
            </w:r>
          </w:p>
        </w:tc>
        <w:tc>
          <w:tcPr>
            <w:tcW w:w="332"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信息形成或者变更之日起20个工作日内</w:t>
            </w:r>
          </w:p>
        </w:tc>
        <w:tc>
          <w:tcPr>
            <w:tcW w:w="306"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自然资源管理部门</w:t>
            </w:r>
          </w:p>
        </w:tc>
        <w:tc>
          <w:tcPr>
            <w:tcW w:w="36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城乡规划科</w:t>
            </w:r>
          </w:p>
        </w:tc>
        <w:tc>
          <w:tcPr>
            <w:tcW w:w="839"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■政府网站  ■两微一端</w:t>
            </w:r>
          </w:p>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 xml:space="preserve">■公开查阅点■政府服务中心 </w:t>
            </w:r>
          </w:p>
        </w:tc>
        <w:tc>
          <w:tcPr>
            <w:tcW w:w="212"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w:t>
            </w:r>
          </w:p>
        </w:tc>
        <w:tc>
          <w:tcPr>
            <w:tcW w:w="233"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p>
        </w:tc>
        <w:tc>
          <w:tcPr>
            <w:tcW w:w="17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w:t>
            </w:r>
          </w:p>
        </w:tc>
        <w:tc>
          <w:tcPr>
            <w:tcW w:w="317"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p>
        </w:tc>
        <w:tc>
          <w:tcPr>
            <w:tcW w:w="121"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w:t>
            </w:r>
          </w:p>
        </w:tc>
        <w:tc>
          <w:tcPr>
            <w:tcW w:w="27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p>
        </w:tc>
        <w:tc>
          <w:tcPr>
            <w:tcW w:w="377"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sz w:val="18"/>
                <w:szCs w:val="18"/>
              </w:rPr>
              <w:t>13934457654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153"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8</w:t>
            </w:r>
          </w:p>
        </w:tc>
        <w:tc>
          <w:tcPr>
            <w:tcW w:w="219"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规划许可</w:t>
            </w:r>
          </w:p>
        </w:tc>
        <w:tc>
          <w:tcPr>
            <w:tcW w:w="278"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建设项目选址意见书</w:t>
            </w:r>
          </w:p>
        </w:tc>
        <w:tc>
          <w:tcPr>
            <w:tcW w:w="427"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新办、变更、延续、补证、注销的办理情况（涉密项目除外）</w:t>
            </w:r>
          </w:p>
        </w:tc>
        <w:tc>
          <w:tcPr>
            <w:tcW w:w="36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《城乡规划法》、《政府信息公开条例》</w:t>
            </w:r>
          </w:p>
        </w:tc>
        <w:tc>
          <w:tcPr>
            <w:tcW w:w="332"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信息形成或者变更之日起20个工作日内</w:t>
            </w:r>
          </w:p>
        </w:tc>
        <w:tc>
          <w:tcPr>
            <w:tcW w:w="306"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自然资源管理部门</w:t>
            </w:r>
          </w:p>
        </w:tc>
        <w:tc>
          <w:tcPr>
            <w:tcW w:w="36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城乡规划科</w:t>
            </w:r>
          </w:p>
        </w:tc>
        <w:tc>
          <w:tcPr>
            <w:tcW w:w="839"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 xml:space="preserve">■政府网站  ■两微一端 </w:t>
            </w:r>
          </w:p>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■政府服务中心</w:t>
            </w:r>
          </w:p>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 xml:space="preserve"> </w:t>
            </w:r>
          </w:p>
        </w:tc>
        <w:tc>
          <w:tcPr>
            <w:tcW w:w="212"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w:t>
            </w:r>
          </w:p>
        </w:tc>
        <w:tc>
          <w:tcPr>
            <w:tcW w:w="233"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p>
        </w:tc>
        <w:tc>
          <w:tcPr>
            <w:tcW w:w="17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w:t>
            </w:r>
          </w:p>
        </w:tc>
        <w:tc>
          <w:tcPr>
            <w:tcW w:w="317"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p>
        </w:tc>
        <w:tc>
          <w:tcPr>
            <w:tcW w:w="121"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w:t>
            </w:r>
          </w:p>
        </w:tc>
        <w:tc>
          <w:tcPr>
            <w:tcW w:w="27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p>
        </w:tc>
        <w:tc>
          <w:tcPr>
            <w:tcW w:w="377"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sz w:val="18"/>
                <w:szCs w:val="18"/>
              </w:rPr>
              <w:t>13934457654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153"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9</w:t>
            </w:r>
          </w:p>
        </w:tc>
        <w:tc>
          <w:tcPr>
            <w:tcW w:w="219"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p>
        </w:tc>
        <w:tc>
          <w:tcPr>
            <w:tcW w:w="278"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建设用地规划许可证</w:t>
            </w:r>
          </w:p>
        </w:tc>
        <w:tc>
          <w:tcPr>
            <w:tcW w:w="427"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新办、变更、延续、补证、注销的办理情况（涉密项目除外）</w:t>
            </w:r>
          </w:p>
        </w:tc>
        <w:tc>
          <w:tcPr>
            <w:tcW w:w="36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《城乡规划法》、《政府信息公开条例》</w:t>
            </w:r>
          </w:p>
        </w:tc>
        <w:tc>
          <w:tcPr>
            <w:tcW w:w="332"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信息形成或者变更之日起20个工作日内</w:t>
            </w:r>
          </w:p>
        </w:tc>
        <w:tc>
          <w:tcPr>
            <w:tcW w:w="306"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自然资源管理部门</w:t>
            </w:r>
          </w:p>
        </w:tc>
        <w:tc>
          <w:tcPr>
            <w:tcW w:w="36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城乡规划科</w:t>
            </w:r>
          </w:p>
        </w:tc>
        <w:tc>
          <w:tcPr>
            <w:tcW w:w="839"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 xml:space="preserve">■政府网站  ■两微一端 </w:t>
            </w:r>
          </w:p>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 xml:space="preserve">■政府服务中心 </w:t>
            </w:r>
          </w:p>
        </w:tc>
        <w:tc>
          <w:tcPr>
            <w:tcW w:w="212"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w:t>
            </w:r>
          </w:p>
        </w:tc>
        <w:tc>
          <w:tcPr>
            <w:tcW w:w="233"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p>
        </w:tc>
        <w:tc>
          <w:tcPr>
            <w:tcW w:w="17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w:t>
            </w:r>
          </w:p>
        </w:tc>
        <w:tc>
          <w:tcPr>
            <w:tcW w:w="317"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p>
        </w:tc>
        <w:tc>
          <w:tcPr>
            <w:tcW w:w="121"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w:t>
            </w:r>
          </w:p>
        </w:tc>
        <w:tc>
          <w:tcPr>
            <w:tcW w:w="27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p>
        </w:tc>
        <w:tc>
          <w:tcPr>
            <w:tcW w:w="377"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sz w:val="18"/>
                <w:szCs w:val="18"/>
              </w:rPr>
              <w:t>13934457654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153" w:type="pct"/>
            <w:noWrap w:val="0"/>
            <w:vAlign w:val="center"/>
          </w:tcPr>
          <w:p>
            <w:pPr>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rPr>
              <w:t>1</w:t>
            </w:r>
            <w:r>
              <w:rPr>
                <w:rFonts w:hint="eastAsia" w:ascii="仿宋" w:hAnsi="仿宋" w:eastAsia="仿宋" w:cs="仿宋"/>
                <w:sz w:val="18"/>
                <w:szCs w:val="18"/>
                <w:lang w:val="en-US" w:eastAsia="zh-CN"/>
              </w:rPr>
              <w:t>0</w:t>
            </w:r>
          </w:p>
        </w:tc>
        <w:tc>
          <w:tcPr>
            <w:tcW w:w="219" w:type="pct"/>
            <w:noWrap w:val="0"/>
            <w:vAlign w:val="center"/>
          </w:tcPr>
          <w:p>
            <w:pPr>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rPr>
              <w:t>规划许可</w:t>
            </w:r>
          </w:p>
        </w:tc>
        <w:tc>
          <w:tcPr>
            <w:tcW w:w="278" w:type="pct"/>
            <w:noWrap w:val="0"/>
            <w:vAlign w:val="center"/>
          </w:tcPr>
          <w:p>
            <w:pPr>
              <w:spacing w:line="240" w:lineRule="exact"/>
              <w:rPr>
                <w:rFonts w:hint="eastAsia" w:ascii="仿宋" w:hAnsi="仿宋" w:eastAsia="仿宋" w:cs="仿宋"/>
                <w:kern w:val="2"/>
                <w:sz w:val="18"/>
                <w:szCs w:val="18"/>
                <w:lang w:val="en-US" w:eastAsia="zh-CN" w:bidi="ar-SA"/>
              </w:rPr>
            </w:pPr>
            <w:r>
              <w:rPr>
                <w:rFonts w:hint="eastAsia" w:ascii="仿宋" w:hAnsi="仿宋" w:eastAsia="仿宋" w:cs="仿宋"/>
                <w:sz w:val="18"/>
                <w:szCs w:val="18"/>
              </w:rPr>
              <w:t>建设工程规划许可证</w:t>
            </w:r>
          </w:p>
        </w:tc>
        <w:tc>
          <w:tcPr>
            <w:tcW w:w="427" w:type="pct"/>
            <w:noWrap w:val="0"/>
            <w:vAlign w:val="center"/>
          </w:tcPr>
          <w:p>
            <w:pPr>
              <w:spacing w:line="240" w:lineRule="exact"/>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rPr>
              <w:t>新办、变更、延续、补证、注销的办理情况（涉密项目除外）</w:t>
            </w:r>
          </w:p>
        </w:tc>
        <w:tc>
          <w:tcPr>
            <w:tcW w:w="365" w:type="pct"/>
            <w:noWrap w:val="0"/>
            <w:vAlign w:val="center"/>
          </w:tcPr>
          <w:p>
            <w:pPr>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rPr>
              <w:t>《城乡规划法》、《政府信息公开条例》</w:t>
            </w:r>
          </w:p>
        </w:tc>
        <w:tc>
          <w:tcPr>
            <w:tcW w:w="332" w:type="pct"/>
            <w:noWrap w:val="0"/>
            <w:vAlign w:val="center"/>
          </w:tcPr>
          <w:p>
            <w:pPr>
              <w:spacing w:line="240" w:lineRule="exact"/>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rPr>
              <w:t>信息形成或者变更之日起20个工作日内</w:t>
            </w:r>
          </w:p>
        </w:tc>
        <w:tc>
          <w:tcPr>
            <w:tcW w:w="306" w:type="pct"/>
            <w:noWrap w:val="0"/>
            <w:vAlign w:val="center"/>
          </w:tcPr>
          <w:p>
            <w:pPr>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rPr>
              <w:t>云冈区行政审批服务管理局</w:t>
            </w:r>
          </w:p>
        </w:tc>
        <w:tc>
          <w:tcPr>
            <w:tcW w:w="365" w:type="pct"/>
            <w:noWrap w:val="0"/>
            <w:vAlign w:val="center"/>
          </w:tcPr>
          <w:p>
            <w:pPr>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rPr>
              <w:t>投资项目股</w:t>
            </w:r>
          </w:p>
        </w:tc>
        <w:tc>
          <w:tcPr>
            <w:tcW w:w="839" w:type="pct"/>
            <w:noWrap w:val="0"/>
            <w:vAlign w:val="center"/>
          </w:tcPr>
          <w:p>
            <w:pPr>
              <w:spacing w:line="240" w:lineRule="exact"/>
              <w:jc w:val="left"/>
              <w:rPr>
                <w:rFonts w:hint="eastAsia" w:ascii="仿宋" w:hAnsi="仿宋" w:eastAsia="仿宋" w:cs="仿宋"/>
                <w:kern w:val="2"/>
                <w:sz w:val="18"/>
                <w:szCs w:val="18"/>
                <w:lang w:val="en-US" w:eastAsia="zh-CN" w:bidi="ar-SA"/>
              </w:rPr>
            </w:pPr>
            <w:r>
              <w:rPr>
                <w:rFonts w:hint="eastAsia" w:ascii="仿宋" w:hAnsi="仿宋" w:eastAsia="仿宋" w:cs="仿宋"/>
                <w:sz w:val="18"/>
                <w:szCs w:val="18"/>
              </w:rPr>
              <w:t>■政务服务中心</w:t>
            </w:r>
          </w:p>
        </w:tc>
        <w:tc>
          <w:tcPr>
            <w:tcW w:w="212" w:type="pct"/>
            <w:noWrap w:val="0"/>
            <w:vAlign w:val="center"/>
          </w:tcPr>
          <w:p>
            <w:pPr>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rPr>
              <w:t>√</w:t>
            </w:r>
          </w:p>
        </w:tc>
        <w:tc>
          <w:tcPr>
            <w:tcW w:w="233" w:type="pct"/>
            <w:noWrap w:val="0"/>
            <w:vAlign w:val="center"/>
          </w:tcPr>
          <w:p>
            <w:pPr>
              <w:jc w:val="center"/>
              <w:rPr>
                <w:rFonts w:hint="eastAsia" w:ascii="仿宋" w:hAnsi="仿宋" w:eastAsia="仿宋" w:cs="仿宋"/>
                <w:kern w:val="2"/>
                <w:sz w:val="18"/>
                <w:szCs w:val="18"/>
                <w:lang w:val="en-US" w:eastAsia="zh-CN" w:bidi="ar-SA"/>
              </w:rPr>
            </w:pPr>
          </w:p>
        </w:tc>
        <w:tc>
          <w:tcPr>
            <w:tcW w:w="175" w:type="pct"/>
            <w:noWrap w:val="0"/>
            <w:vAlign w:val="center"/>
          </w:tcPr>
          <w:p>
            <w:pPr>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rPr>
              <w:t>√</w:t>
            </w:r>
          </w:p>
        </w:tc>
        <w:tc>
          <w:tcPr>
            <w:tcW w:w="317" w:type="pct"/>
            <w:noWrap w:val="0"/>
            <w:vAlign w:val="center"/>
          </w:tcPr>
          <w:p>
            <w:pPr>
              <w:jc w:val="center"/>
              <w:rPr>
                <w:rFonts w:hint="eastAsia" w:ascii="仿宋" w:hAnsi="仿宋" w:eastAsia="仿宋" w:cs="仿宋"/>
                <w:kern w:val="2"/>
                <w:sz w:val="18"/>
                <w:szCs w:val="18"/>
                <w:lang w:val="en-US" w:eastAsia="zh-CN" w:bidi="ar-SA"/>
              </w:rPr>
            </w:pPr>
          </w:p>
        </w:tc>
        <w:tc>
          <w:tcPr>
            <w:tcW w:w="121" w:type="pct"/>
            <w:noWrap w:val="0"/>
            <w:vAlign w:val="center"/>
          </w:tcPr>
          <w:p>
            <w:pPr>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rPr>
              <w:t>√</w:t>
            </w:r>
          </w:p>
        </w:tc>
        <w:tc>
          <w:tcPr>
            <w:tcW w:w="275" w:type="pct"/>
            <w:noWrap w:val="0"/>
            <w:vAlign w:val="center"/>
          </w:tcPr>
          <w:p>
            <w:pPr>
              <w:jc w:val="center"/>
              <w:rPr>
                <w:rFonts w:hint="eastAsia" w:ascii="仿宋" w:hAnsi="仿宋" w:eastAsia="仿宋" w:cs="仿宋"/>
                <w:kern w:val="2"/>
                <w:sz w:val="18"/>
                <w:szCs w:val="18"/>
                <w:lang w:val="en-US" w:eastAsia="zh-CN" w:bidi="ar-SA"/>
              </w:rPr>
            </w:pPr>
          </w:p>
        </w:tc>
        <w:tc>
          <w:tcPr>
            <w:tcW w:w="377" w:type="pct"/>
            <w:noWrap w:val="0"/>
            <w:vAlign w:val="center"/>
          </w:tcPr>
          <w:p>
            <w:pPr>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rPr>
              <w:t>0352-4055598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153" w:type="pct"/>
            <w:noWrap w:val="0"/>
            <w:vAlign w:val="center"/>
          </w:tcPr>
          <w:p>
            <w:pPr>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lang w:val="en-US" w:eastAsia="zh-CN"/>
              </w:rPr>
              <w:t>11</w:t>
            </w:r>
          </w:p>
        </w:tc>
        <w:tc>
          <w:tcPr>
            <w:tcW w:w="219" w:type="pct"/>
            <w:noWrap w:val="0"/>
            <w:vAlign w:val="center"/>
          </w:tcPr>
          <w:p>
            <w:pPr>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rPr>
              <w:t>规划许可</w:t>
            </w:r>
          </w:p>
        </w:tc>
        <w:tc>
          <w:tcPr>
            <w:tcW w:w="278" w:type="pct"/>
            <w:noWrap w:val="0"/>
            <w:vAlign w:val="center"/>
          </w:tcPr>
          <w:p>
            <w:pPr>
              <w:spacing w:line="240" w:lineRule="exact"/>
              <w:rPr>
                <w:rFonts w:hint="eastAsia" w:ascii="仿宋" w:hAnsi="仿宋" w:eastAsia="仿宋" w:cs="仿宋"/>
                <w:kern w:val="2"/>
                <w:sz w:val="18"/>
                <w:szCs w:val="18"/>
                <w:lang w:val="en-US" w:eastAsia="zh-CN" w:bidi="ar-SA"/>
              </w:rPr>
            </w:pPr>
            <w:r>
              <w:rPr>
                <w:rFonts w:hint="eastAsia" w:ascii="仿宋" w:hAnsi="仿宋" w:eastAsia="仿宋" w:cs="仿宋"/>
                <w:sz w:val="18"/>
                <w:szCs w:val="18"/>
              </w:rPr>
              <w:t>乡村建设规划许可证</w:t>
            </w:r>
          </w:p>
        </w:tc>
        <w:tc>
          <w:tcPr>
            <w:tcW w:w="427" w:type="pct"/>
            <w:noWrap w:val="0"/>
            <w:vAlign w:val="center"/>
          </w:tcPr>
          <w:p>
            <w:pPr>
              <w:spacing w:line="240" w:lineRule="exact"/>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rPr>
              <w:t>新办、变更、延续、补证、注销的办理情况</w:t>
            </w:r>
          </w:p>
        </w:tc>
        <w:tc>
          <w:tcPr>
            <w:tcW w:w="365" w:type="pct"/>
            <w:noWrap w:val="0"/>
            <w:vAlign w:val="center"/>
          </w:tcPr>
          <w:p>
            <w:pPr>
              <w:spacing w:line="240" w:lineRule="exact"/>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rPr>
              <w:t>《城乡规划法》、《政府信息公开条例》</w:t>
            </w:r>
          </w:p>
        </w:tc>
        <w:tc>
          <w:tcPr>
            <w:tcW w:w="332" w:type="pct"/>
            <w:noWrap w:val="0"/>
            <w:vAlign w:val="center"/>
          </w:tcPr>
          <w:p>
            <w:pPr>
              <w:spacing w:line="240" w:lineRule="exact"/>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rPr>
              <w:t>信息形成或者变更之日起20个工作日内</w:t>
            </w:r>
          </w:p>
        </w:tc>
        <w:tc>
          <w:tcPr>
            <w:tcW w:w="306" w:type="pct"/>
            <w:noWrap w:val="0"/>
            <w:vAlign w:val="center"/>
          </w:tcPr>
          <w:p>
            <w:pPr>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rPr>
              <w:t>云冈区行政审批服务管理局</w:t>
            </w:r>
          </w:p>
        </w:tc>
        <w:tc>
          <w:tcPr>
            <w:tcW w:w="365" w:type="pct"/>
            <w:noWrap w:val="0"/>
            <w:vAlign w:val="center"/>
          </w:tcPr>
          <w:p>
            <w:pPr>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rPr>
              <w:t>投资项目股</w:t>
            </w:r>
          </w:p>
        </w:tc>
        <w:tc>
          <w:tcPr>
            <w:tcW w:w="839" w:type="pct"/>
            <w:noWrap w:val="0"/>
            <w:vAlign w:val="center"/>
          </w:tcPr>
          <w:p>
            <w:pPr>
              <w:spacing w:line="240" w:lineRule="exact"/>
              <w:jc w:val="left"/>
              <w:rPr>
                <w:rFonts w:hint="eastAsia" w:ascii="仿宋" w:hAnsi="仿宋" w:eastAsia="仿宋" w:cs="仿宋"/>
                <w:kern w:val="2"/>
                <w:sz w:val="18"/>
                <w:szCs w:val="18"/>
                <w:lang w:val="en-US" w:eastAsia="zh-CN" w:bidi="ar-SA"/>
              </w:rPr>
            </w:pPr>
            <w:r>
              <w:rPr>
                <w:rFonts w:hint="eastAsia" w:ascii="仿宋" w:hAnsi="仿宋" w:eastAsia="仿宋" w:cs="仿宋"/>
                <w:sz w:val="18"/>
                <w:szCs w:val="18"/>
              </w:rPr>
              <w:t>■政务服务中心</w:t>
            </w:r>
          </w:p>
        </w:tc>
        <w:tc>
          <w:tcPr>
            <w:tcW w:w="212" w:type="pct"/>
            <w:noWrap w:val="0"/>
            <w:vAlign w:val="center"/>
          </w:tcPr>
          <w:p>
            <w:pPr>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rPr>
              <w:t>√</w:t>
            </w:r>
          </w:p>
        </w:tc>
        <w:tc>
          <w:tcPr>
            <w:tcW w:w="233" w:type="pct"/>
            <w:noWrap w:val="0"/>
            <w:vAlign w:val="center"/>
          </w:tcPr>
          <w:p>
            <w:pPr>
              <w:jc w:val="center"/>
              <w:rPr>
                <w:rFonts w:hint="eastAsia" w:ascii="仿宋" w:hAnsi="仿宋" w:eastAsia="仿宋" w:cs="仿宋"/>
                <w:kern w:val="2"/>
                <w:sz w:val="18"/>
                <w:szCs w:val="18"/>
                <w:lang w:val="en-US" w:eastAsia="zh-CN" w:bidi="ar-SA"/>
              </w:rPr>
            </w:pPr>
          </w:p>
        </w:tc>
        <w:tc>
          <w:tcPr>
            <w:tcW w:w="175" w:type="pct"/>
            <w:noWrap w:val="0"/>
            <w:vAlign w:val="center"/>
          </w:tcPr>
          <w:p>
            <w:pPr>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rPr>
              <w:t>√</w:t>
            </w:r>
          </w:p>
        </w:tc>
        <w:tc>
          <w:tcPr>
            <w:tcW w:w="317" w:type="pct"/>
            <w:noWrap w:val="0"/>
            <w:vAlign w:val="center"/>
          </w:tcPr>
          <w:p>
            <w:pPr>
              <w:jc w:val="center"/>
              <w:rPr>
                <w:rFonts w:hint="eastAsia" w:ascii="仿宋" w:hAnsi="仿宋" w:eastAsia="仿宋" w:cs="仿宋"/>
                <w:kern w:val="2"/>
                <w:sz w:val="18"/>
                <w:szCs w:val="18"/>
                <w:lang w:val="en-US" w:eastAsia="zh-CN" w:bidi="ar-SA"/>
              </w:rPr>
            </w:pPr>
          </w:p>
        </w:tc>
        <w:tc>
          <w:tcPr>
            <w:tcW w:w="121" w:type="pct"/>
            <w:noWrap w:val="0"/>
            <w:vAlign w:val="center"/>
          </w:tcPr>
          <w:p>
            <w:pPr>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rPr>
              <w:t>√</w:t>
            </w:r>
          </w:p>
        </w:tc>
        <w:tc>
          <w:tcPr>
            <w:tcW w:w="275" w:type="pct"/>
            <w:noWrap w:val="0"/>
            <w:vAlign w:val="center"/>
          </w:tcPr>
          <w:p>
            <w:pPr>
              <w:jc w:val="center"/>
              <w:rPr>
                <w:rFonts w:hint="eastAsia" w:ascii="仿宋" w:hAnsi="仿宋" w:eastAsia="仿宋" w:cs="仿宋"/>
                <w:kern w:val="2"/>
                <w:sz w:val="18"/>
                <w:szCs w:val="18"/>
                <w:lang w:val="en-US" w:eastAsia="zh-CN" w:bidi="ar-SA"/>
              </w:rPr>
            </w:pPr>
          </w:p>
        </w:tc>
        <w:tc>
          <w:tcPr>
            <w:tcW w:w="377" w:type="pct"/>
            <w:noWrap w:val="0"/>
            <w:vAlign w:val="center"/>
          </w:tcPr>
          <w:p>
            <w:pPr>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rPr>
              <w:t>0352-4055598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153"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12</w:t>
            </w:r>
          </w:p>
        </w:tc>
        <w:tc>
          <w:tcPr>
            <w:tcW w:w="219" w:type="pct"/>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行政处罚</w:t>
            </w:r>
          </w:p>
        </w:tc>
        <w:tc>
          <w:tcPr>
            <w:tcW w:w="278"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行政处罚基本信息</w:t>
            </w:r>
          </w:p>
        </w:tc>
        <w:tc>
          <w:tcPr>
            <w:tcW w:w="427"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执法主体、执法人员姓名及证件编号、职责、权限、查处依据、工作程序、救济渠道和随机抽查事项清单等信息</w:t>
            </w:r>
          </w:p>
        </w:tc>
        <w:tc>
          <w:tcPr>
            <w:tcW w:w="36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《城乡规划法》、《政府信息公开条例》、《关于全面推行行政执法公示制度执法全过程记录制度重大执法决定法制审核制度的指导意见》</w:t>
            </w:r>
          </w:p>
        </w:tc>
        <w:tc>
          <w:tcPr>
            <w:tcW w:w="332"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信息形成或者变更之日起20个工作日内</w:t>
            </w:r>
          </w:p>
        </w:tc>
        <w:tc>
          <w:tcPr>
            <w:tcW w:w="306"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自然资源管理部门</w:t>
            </w:r>
          </w:p>
        </w:tc>
        <w:tc>
          <w:tcPr>
            <w:tcW w:w="36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城乡规划科</w:t>
            </w:r>
          </w:p>
        </w:tc>
        <w:tc>
          <w:tcPr>
            <w:tcW w:w="839"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 xml:space="preserve">■政府网站  ■两微一端 </w:t>
            </w:r>
          </w:p>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■政府服务中心</w:t>
            </w:r>
          </w:p>
        </w:tc>
        <w:tc>
          <w:tcPr>
            <w:tcW w:w="212"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w:t>
            </w:r>
          </w:p>
        </w:tc>
        <w:tc>
          <w:tcPr>
            <w:tcW w:w="233"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p>
        </w:tc>
        <w:tc>
          <w:tcPr>
            <w:tcW w:w="17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w:t>
            </w:r>
          </w:p>
        </w:tc>
        <w:tc>
          <w:tcPr>
            <w:tcW w:w="317"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p>
        </w:tc>
        <w:tc>
          <w:tcPr>
            <w:tcW w:w="121"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w:t>
            </w:r>
          </w:p>
        </w:tc>
        <w:tc>
          <w:tcPr>
            <w:tcW w:w="27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p>
        </w:tc>
        <w:tc>
          <w:tcPr>
            <w:tcW w:w="377"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sz w:val="18"/>
                <w:szCs w:val="18"/>
              </w:rPr>
              <w:t>13934457654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153"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13</w:t>
            </w:r>
          </w:p>
        </w:tc>
        <w:tc>
          <w:tcPr>
            <w:tcW w:w="219"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行政处罚</w:t>
            </w:r>
          </w:p>
        </w:tc>
        <w:tc>
          <w:tcPr>
            <w:tcW w:w="278"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事后公开</w:t>
            </w:r>
          </w:p>
        </w:tc>
        <w:tc>
          <w:tcPr>
            <w:tcW w:w="427"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作出的行政处罚决定信息（法律、行政法规另有规定的除外）</w:t>
            </w:r>
          </w:p>
        </w:tc>
        <w:tc>
          <w:tcPr>
            <w:tcW w:w="36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《城乡规划法》、《政府信息公开条例》、《关于全面推行行政执法公示制度执法全过程记录制度重大执法决定法制审核制度的指导意见》</w:t>
            </w:r>
          </w:p>
        </w:tc>
        <w:tc>
          <w:tcPr>
            <w:tcW w:w="332"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7个工作日</w:t>
            </w:r>
          </w:p>
        </w:tc>
        <w:tc>
          <w:tcPr>
            <w:tcW w:w="306"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自然资源管理部门</w:t>
            </w:r>
          </w:p>
        </w:tc>
        <w:tc>
          <w:tcPr>
            <w:tcW w:w="36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城乡规划科</w:t>
            </w:r>
          </w:p>
        </w:tc>
        <w:tc>
          <w:tcPr>
            <w:tcW w:w="839"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 xml:space="preserve">■政府网站  ■两微一端 </w:t>
            </w:r>
          </w:p>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■政府服务中心</w:t>
            </w:r>
          </w:p>
        </w:tc>
        <w:tc>
          <w:tcPr>
            <w:tcW w:w="212"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w:t>
            </w:r>
          </w:p>
        </w:tc>
        <w:tc>
          <w:tcPr>
            <w:tcW w:w="233"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p>
        </w:tc>
        <w:tc>
          <w:tcPr>
            <w:tcW w:w="17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w:t>
            </w:r>
          </w:p>
        </w:tc>
        <w:tc>
          <w:tcPr>
            <w:tcW w:w="317"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p>
        </w:tc>
        <w:tc>
          <w:tcPr>
            <w:tcW w:w="121"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color w:val="000000"/>
                <w:sz w:val="18"/>
                <w:szCs w:val="18"/>
              </w:rPr>
              <w:t>√</w:t>
            </w:r>
          </w:p>
        </w:tc>
        <w:tc>
          <w:tcPr>
            <w:tcW w:w="275"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p>
        </w:tc>
        <w:tc>
          <w:tcPr>
            <w:tcW w:w="377" w:type="pc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sz w:val="18"/>
                <w:szCs w:val="18"/>
              </w:rPr>
            </w:pPr>
            <w:r>
              <w:rPr>
                <w:rFonts w:hint="eastAsia" w:ascii="仿宋" w:hAnsi="仿宋" w:eastAsia="仿宋" w:cs="仿宋"/>
                <w:sz w:val="18"/>
                <w:szCs w:val="18"/>
              </w:rPr>
              <w:t>13934457654</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0A09D91"/>
    <w:multiLevelType w:val="multilevel"/>
    <w:tmpl w:val="90A09D91"/>
    <w:lvl w:ilvl="0" w:tentative="0">
      <w:start w:val="1"/>
      <w:numFmt w:val="decimal"/>
      <w:pStyle w:val="3"/>
      <w:lvlText w:val="%1."/>
      <w:lvlJc w:val="left"/>
      <w:pPr>
        <w:ind w:left="432" w:hanging="432"/>
      </w:pPr>
      <w:rPr>
        <w:rFonts w:hint="default"/>
      </w:rPr>
    </w:lvl>
    <w:lvl w:ilvl="1" w:tentative="0">
      <w:start w:val="1"/>
      <w:numFmt w:val="decimal"/>
      <w:pStyle w:val="4"/>
      <w:isLgl/>
      <w:lvlText w:val="%1.%2."/>
      <w:lvlJc w:val="left"/>
      <w:pPr>
        <w:ind w:left="113" w:leftChars="0" w:hanging="113" w:firstLineChars="0"/>
      </w:pPr>
      <w:rPr>
        <w:rFonts w:hint="default" w:ascii="宋体" w:hAnsi="宋体" w:eastAsia="宋体" w:cs="宋体"/>
      </w:rPr>
    </w:lvl>
    <w:lvl w:ilvl="2" w:tentative="0">
      <w:start w:val="1"/>
      <w:numFmt w:val="decimal"/>
      <w:pStyle w:val="5"/>
      <w:lvlText w:val="%1.%2.%3."/>
      <w:lvlJc w:val="left"/>
      <w:pPr>
        <w:ind w:left="720" w:hanging="720"/>
      </w:pPr>
      <w:rPr>
        <w:rFonts w:hint="default"/>
      </w:rPr>
    </w:lvl>
    <w:lvl w:ilvl="3" w:tentative="0">
      <w:start w:val="1"/>
      <w:numFmt w:val="decimal"/>
      <w:pStyle w:val="6"/>
      <w:lvlText w:val="%1.%2.%3.%4."/>
      <w:lvlJc w:val="left"/>
      <w:pPr>
        <w:ind w:left="864" w:hanging="864"/>
      </w:pPr>
      <w:rPr>
        <w:rFonts w:hint="default"/>
      </w:rPr>
    </w:lvl>
    <w:lvl w:ilvl="4" w:tentative="0">
      <w:start w:val="1"/>
      <w:numFmt w:val="decimal"/>
      <w:pStyle w:val="7"/>
      <w:lvlText w:val="%1.%2.%3.%4.%5."/>
      <w:lvlJc w:val="left"/>
      <w:pPr>
        <w:ind w:left="1008" w:hanging="1008"/>
      </w:pPr>
      <w:rPr>
        <w:rFonts w:hint="default"/>
      </w:rPr>
    </w:lvl>
    <w:lvl w:ilvl="5" w:tentative="0">
      <w:start w:val="1"/>
      <w:numFmt w:val="decimal"/>
      <w:pStyle w:val="8"/>
      <w:lvlText w:val="%1.%2.%3.%4.%5.%6."/>
      <w:lvlJc w:val="left"/>
      <w:pPr>
        <w:ind w:left="1151" w:hanging="1151"/>
      </w:pPr>
      <w:rPr>
        <w:rFonts w:hint="default"/>
      </w:rPr>
    </w:lvl>
    <w:lvl w:ilvl="6" w:tentative="0">
      <w:start w:val="1"/>
      <w:numFmt w:val="decimal"/>
      <w:pStyle w:val="9"/>
      <w:lvlText w:val="%1.%2.%3.%4.%5.%6.%7."/>
      <w:lvlJc w:val="left"/>
      <w:pPr>
        <w:ind w:left="1296" w:hanging="1296"/>
      </w:pPr>
      <w:rPr>
        <w:rFonts w:hint="default"/>
      </w:rPr>
    </w:lvl>
    <w:lvl w:ilvl="7" w:tentative="0">
      <w:start w:val="1"/>
      <w:numFmt w:val="decimal"/>
      <w:pStyle w:val="10"/>
      <w:lvlText w:val="%1.%2.%3.%4.%5.%6.%7.%8."/>
      <w:lvlJc w:val="left"/>
      <w:pPr>
        <w:ind w:left="1440" w:hanging="1440"/>
      </w:pPr>
      <w:rPr>
        <w:rFonts w:hint="default"/>
      </w:rPr>
    </w:lvl>
    <w:lvl w:ilvl="8" w:tentative="0">
      <w:start w:val="1"/>
      <w:numFmt w:val="decimal"/>
      <w:pStyle w:val="11"/>
      <w:lvlText w:val="%1.%2.%3.%4.%5.%6.%7.%8.%9."/>
      <w:lvlJc w:val="left"/>
      <w:pPr>
        <w:ind w:left="1583" w:hanging="158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2F1B4A"/>
    <w:rsid w:val="00425030"/>
    <w:rsid w:val="00CF7E60"/>
    <w:rsid w:val="020F6C21"/>
    <w:rsid w:val="06776DEB"/>
    <w:rsid w:val="069D2271"/>
    <w:rsid w:val="0973178D"/>
    <w:rsid w:val="0D26449A"/>
    <w:rsid w:val="0D951179"/>
    <w:rsid w:val="0DE26E74"/>
    <w:rsid w:val="10814AD9"/>
    <w:rsid w:val="111C128B"/>
    <w:rsid w:val="11E342DB"/>
    <w:rsid w:val="15E00238"/>
    <w:rsid w:val="163D6C1B"/>
    <w:rsid w:val="1A5D16BB"/>
    <w:rsid w:val="1AAD3A86"/>
    <w:rsid w:val="203A17B3"/>
    <w:rsid w:val="214D03CE"/>
    <w:rsid w:val="2393591D"/>
    <w:rsid w:val="241B5282"/>
    <w:rsid w:val="24525BB0"/>
    <w:rsid w:val="24BE6123"/>
    <w:rsid w:val="284C7E70"/>
    <w:rsid w:val="29473438"/>
    <w:rsid w:val="297861C1"/>
    <w:rsid w:val="2DA31038"/>
    <w:rsid w:val="30437299"/>
    <w:rsid w:val="30D97DD7"/>
    <w:rsid w:val="397F7504"/>
    <w:rsid w:val="3A1B7657"/>
    <w:rsid w:val="3B2F1B4A"/>
    <w:rsid w:val="43105621"/>
    <w:rsid w:val="448E4664"/>
    <w:rsid w:val="47E65D8B"/>
    <w:rsid w:val="4BE84679"/>
    <w:rsid w:val="4FA37960"/>
    <w:rsid w:val="527C5CC8"/>
    <w:rsid w:val="54DF00C8"/>
    <w:rsid w:val="55F15DF6"/>
    <w:rsid w:val="568A58EC"/>
    <w:rsid w:val="57127A7F"/>
    <w:rsid w:val="5EF2131C"/>
    <w:rsid w:val="635C6AFB"/>
    <w:rsid w:val="65810525"/>
    <w:rsid w:val="6FDA54EF"/>
    <w:rsid w:val="7351102E"/>
    <w:rsid w:val="76FE1F51"/>
    <w:rsid w:val="78187497"/>
    <w:rsid w:val="7924493F"/>
    <w:rsid w:val="79B516A0"/>
    <w:rsid w:val="7B113F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numPr>
        <w:ilvl w:val="0"/>
        <w:numId w:val="1"/>
      </w:numPr>
      <w:spacing w:beforeLines="0" w:beforeAutospacing="0" w:after="200" w:afterLines="0" w:afterAutospacing="0" w:line="240" w:lineRule="auto"/>
      <w:ind w:left="432" w:hanging="432" w:firstLineChars="0"/>
      <w:jc w:val="center"/>
      <w:outlineLvl w:val="0"/>
    </w:pPr>
    <w:rPr>
      <w:rFonts w:ascii="仿宋" w:hAnsi="仿宋" w:eastAsia="仿宋" w:cs="仿宋"/>
      <w:b/>
      <w:kern w:val="44"/>
      <w:sz w:val="32"/>
      <w:szCs w:val="28"/>
    </w:rPr>
  </w:style>
  <w:style w:type="paragraph" w:styleId="4">
    <w:name w:val="heading 2"/>
    <w:basedOn w:val="1"/>
    <w:next w:val="1"/>
    <w:semiHidden/>
    <w:unhideWhenUsed/>
    <w:qFormat/>
    <w:uiPriority w:val="0"/>
    <w:pPr>
      <w:keepNext/>
      <w:keepLines/>
      <w:numPr>
        <w:ilvl w:val="1"/>
        <w:numId w:val="1"/>
      </w:numPr>
      <w:tabs>
        <w:tab w:val="left" w:pos="420"/>
      </w:tabs>
      <w:spacing w:before="300" w:beforeAutospacing="0" w:after="300" w:afterAutospacing="0" w:line="240" w:lineRule="auto"/>
      <w:ind w:left="113" w:hanging="113" w:firstLineChars="0"/>
      <w:jc w:val="left"/>
      <w:outlineLvl w:val="1"/>
    </w:pPr>
    <w:rPr>
      <w:rFonts w:ascii="仿宋" w:hAnsi="仿宋" w:cs="仿宋"/>
      <w:b/>
      <w:sz w:val="30"/>
      <w:szCs w:val="28"/>
    </w:rPr>
  </w:style>
  <w:style w:type="paragraph" w:styleId="5">
    <w:name w:val="heading 3"/>
    <w:basedOn w:val="4"/>
    <w:next w:val="1"/>
    <w:link w:val="22"/>
    <w:semiHidden/>
    <w:unhideWhenUsed/>
    <w:qFormat/>
    <w:uiPriority w:val="0"/>
    <w:pPr>
      <w:keepNext/>
      <w:keepLines/>
      <w:numPr>
        <w:ilvl w:val="2"/>
      </w:numPr>
      <w:spacing w:before="400" w:after="400" w:line="240" w:lineRule="auto"/>
      <w:ind w:left="0" w:firstLine="480" w:firstLineChars="150"/>
      <w:jc w:val="left"/>
      <w:outlineLvl w:val="2"/>
    </w:pPr>
    <w:rPr>
      <w:bCs/>
      <w:szCs w:val="32"/>
    </w:rPr>
  </w:style>
  <w:style w:type="paragraph" w:styleId="6">
    <w:name w:val="heading 4"/>
    <w:basedOn w:val="1"/>
    <w:next w:val="1"/>
    <w:semiHidden/>
    <w:unhideWhenUsed/>
    <w:qFormat/>
    <w:uiPriority w:val="0"/>
    <w:pPr>
      <w:keepNext/>
      <w:keepLines/>
      <w:numPr>
        <w:ilvl w:val="3"/>
        <w:numId w:val="1"/>
      </w:numPr>
      <w:spacing w:before="400" w:beforeLines="0" w:beforeAutospacing="0" w:after="400" w:afterLines="0" w:afterAutospacing="0" w:line="240" w:lineRule="auto"/>
      <w:ind w:left="864" w:hanging="864" w:firstLineChars="0"/>
      <w:outlineLvl w:val="3"/>
    </w:pPr>
    <w:rPr>
      <w:rFonts w:ascii="仿宋" w:hAnsi="仿宋" w:cs="仿宋"/>
      <w:b/>
      <w:szCs w:val="28"/>
    </w:rPr>
  </w:style>
  <w:style w:type="paragraph" w:styleId="7">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left="1008" w:hanging="1008" w:firstLineChars="0"/>
      <w:outlineLvl w:val="4"/>
    </w:pPr>
    <w:rPr>
      <w:b/>
      <w:sz w:val="28"/>
    </w:rPr>
  </w:style>
  <w:style w:type="paragraph" w:styleId="8">
    <w:name w:val="heading 6"/>
    <w:basedOn w:val="1"/>
    <w:next w:val="1"/>
    <w:semiHidden/>
    <w:unhideWhenUsed/>
    <w:qFormat/>
    <w:uiPriority w:val="0"/>
    <w:pPr>
      <w:keepNext/>
      <w:keepLines/>
      <w:numPr>
        <w:ilvl w:val="5"/>
        <w:numId w:val="1"/>
      </w:numPr>
      <w:spacing w:before="400" w:beforeLines="0" w:beforeAutospacing="0" w:after="400" w:afterLines="0" w:afterAutospacing="0" w:line="240" w:lineRule="auto"/>
      <w:ind w:left="1151" w:hanging="1151" w:firstLineChars="0"/>
      <w:outlineLvl w:val="5"/>
    </w:pPr>
    <w:rPr>
      <w:rFonts w:ascii="仿宋" w:hAnsi="仿宋" w:eastAsia="黑体" w:cs="仿宋"/>
      <w:b/>
      <w:sz w:val="28"/>
      <w:szCs w:val="28"/>
    </w:rPr>
  </w:style>
  <w:style w:type="paragraph" w:styleId="9">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left="1296" w:hanging="1296" w:firstLineChars="0"/>
      <w:outlineLvl w:val="6"/>
    </w:pPr>
    <w:rPr>
      <w:b/>
      <w:sz w:val="24"/>
    </w:rPr>
  </w:style>
  <w:style w:type="paragraph" w:styleId="10">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left="1440" w:hanging="1440" w:firstLineChars="0"/>
      <w:outlineLvl w:val="7"/>
    </w:pPr>
    <w:rPr>
      <w:rFonts w:ascii="Arial" w:hAnsi="Arial" w:eastAsia="黑体"/>
      <w:sz w:val="24"/>
    </w:rPr>
  </w:style>
  <w:style w:type="paragraph" w:styleId="11">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left="1583" w:hanging="1583" w:firstLineChars="0"/>
      <w:outlineLvl w:val="8"/>
    </w:pPr>
    <w:rPr>
      <w:rFonts w:ascii="Arial" w:hAnsi="Arial" w:eastAsia="黑体"/>
      <w:sz w:val="21"/>
    </w:rPr>
  </w:style>
  <w:style w:type="character" w:default="1" w:styleId="21">
    <w:name w:val="Default Paragraph Font"/>
    <w:semiHidden/>
    <w:unhideWhenUsed/>
    <w:uiPriority w:val="1"/>
  </w:style>
  <w:style w:type="table" w:default="1" w:styleId="20">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12">
    <w:name w:val="Body Text Indent"/>
    <w:basedOn w:val="1"/>
    <w:qFormat/>
    <w:uiPriority w:val="0"/>
    <w:pPr>
      <w:spacing w:after="120" w:afterLines="0" w:afterAutospacing="0"/>
      <w:ind w:left="420" w:leftChars="200"/>
    </w:pPr>
  </w:style>
  <w:style w:type="paragraph" w:styleId="13">
    <w:name w:val="toc 3"/>
    <w:basedOn w:val="1"/>
    <w:next w:val="1"/>
    <w:qFormat/>
    <w:uiPriority w:val="0"/>
    <w:pPr>
      <w:ind w:left="0" w:leftChars="0"/>
    </w:pPr>
    <w:rPr>
      <w:rFonts w:ascii="仿宋" w:hAnsi="仿宋" w:cs="仿宋"/>
      <w:szCs w:val="28"/>
    </w:rPr>
  </w:style>
  <w:style w:type="paragraph" w:styleId="14">
    <w:name w:val="Plain Text"/>
    <w:basedOn w:val="1"/>
    <w:qFormat/>
    <w:uiPriority w:val="0"/>
    <w:rPr>
      <w:rFonts w:ascii="宋体" w:hAnsi="Courier New"/>
    </w:rPr>
  </w:style>
  <w:style w:type="paragraph" w:styleId="15">
    <w:name w:val="toc 1"/>
    <w:basedOn w:val="1"/>
    <w:next w:val="1"/>
    <w:qFormat/>
    <w:uiPriority w:val="0"/>
    <w:pPr>
      <w:ind w:firstLine="0" w:firstLineChars="0"/>
    </w:pPr>
    <w:rPr>
      <w:rFonts w:ascii="仿宋" w:hAnsi="仿宋" w:cs="仿宋"/>
      <w:b/>
      <w:szCs w:val="28"/>
    </w:rPr>
  </w:style>
  <w:style w:type="paragraph" w:styleId="16">
    <w:name w:val="toc 2"/>
    <w:basedOn w:val="1"/>
    <w:next w:val="1"/>
    <w:qFormat/>
    <w:uiPriority w:val="0"/>
    <w:pPr>
      <w:ind w:left="0" w:leftChars="0"/>
    </w:pPr>
    <w:rPr>
      <w:rFonts w:ascii="仿宋" w:hAnsi="仿宋" w:cs="仿宋"/>
      <w:szCs w:val="28"/>
    </w:rPr>
  </w:style>
  <w:style w:type="paragraph" w:styleId="17">
    <w:name w:val="Normal (Web)"/>
    <w:basedOn w:val="1"/>
    <w:qFormat/>
    <w:uiPriority w:val="0"/>
    <w:pPr>
      <w:spacing w:before="0" w:beforeAutospacing="1" w:after="0" w:afterAutospacing="1" w:line="400" w:lineRule="exact"/>
      <w:ind w:left="0" w:right="0" w:firstLine="0" w:firstLineChars="0"/>
      <w:jc w:val="left"/>
    </w:pPr>
    <w:rPr>
      <w:kern w:val="0"/>
      <w:sz w:val="24"/>
      <w:lang w:val="en-US" w:eastAsia="zh-CN" w:bidi="ar"/>
    </w:rPr>
  </w:style>
  <w:style w:type="paragraph" w:styleId="18">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styleId="19">
    <w:name w:val="Body Text First Indent 2"/>
    <w:basedOn w:val="12"/>
    <w:qFormat/>
    <w:uiPriority w:val="0"/>
    <w:pPr>
      <w:ind w:firstLine="420" w:firstLineChars="200"/>
    </w:pPr>
  </w:style>
  <w:style w:type="character" w:customStyle="1" w:styleId="22">
    <w:name w:val="标题 3 Char"/>
    <w:basedOn w:val="21"/>
    <w:link w:val="5"/>
    <w:qFormat/>
    <w:uiPriority w:val="9"/>
    <w:rPr>
      <w:rFonts w:ascii="Times New Roman" w:hAnsi="Times New Roman" w:eastAsia="仿宋" w:cs="Times New Roman"/>
      <w:b/>
      <w:bCs/>
      <w:sz w:val="30"/>
      <w:szCs w:val="32"/>
    </w:rPr>
  </w:style>
  <w:style w:type="paragraph" w:customStyle="1" w:styleId="23">
    <w:name w:val="表格"/>
    <w:basedOn w:val="1"/>
    <w:qFormat/>
    <w:uiPriority w:val="0"/>
    <w:pPr>
      <w:spacing w:line="360" w:lineRule="exact"/>
      <w:ind w:firstLine="0" w:firstLineChars="0"/>
      <w:jc w:val="center"/>
    </w:pPr>
    <w:rPr>
      <w:rFonts w:ascii="仿宋" w:hAnsi="仿宋" w:cs="仿宋"/>
      <w:sz w:val="24"/>
      <w:szCs w:val="28"/>
    </w:rPr>
  </w:style>
  <w:style w:type="paragraph" w:customStyle="1" w:styleId="24">
    <w:name w:val="附注"/>
    <w:basedOn w:val="1"/>
    <w:next w:val="1"/>
    <w:qFormat/>
    <w:uiPriority w:val="0"/>
    <w:pPr>
      <w:spacing w:line="360" w:lineRule="exact"/>
    </w:pPr>
    <w:rPr>
      <w:rFonts w:ascii="仿宋" w:hAnsi="仿宋" w:eastAsia="仿宋" w:cs="仿宋"/>
      <w:b/>
      <w:i/>
      <w:sz w:val="24"/>
      <w:szCs w:val="28"/>
    </w:rPr>
  </w:style>
  <w:style w:type="paragraph" w:customStyle="1" w:styleId="25">
    <w:name w:val="居中加粗"/>
    <w:basedOn w:val="1"/>
    <w:qFormat/>
    <w:uiPriority w:val="0"/>
    <w:pPr>
      <w:ind w:firstLine="0" w:firstLineChars="0"/>
      <w:jc w:val="center"/>
    </w:pPr>
    <w:rPr>
      <w:rFonts w:ascii="仿宋" w:hAnsi="仿宋" w:cs="仿宋"/>
      <w:b/>
      <w:sz w:val="30"/>
      <w:szCs w:val="28"/>
    </w:rPr>
  </w:style>
  <w:style w:type="paragraph" w:customStyle="1" w:styleId="26">
    <w:name w:val="封面-公司名称"/>
    <w:basedOn w:val="1"/>
    <w:next w:val="18"/>
    <w:qFormat/>
    <w:uiPriority w:val="0"/>
    <w:rPr>
      <w:rFonts w:ascii="仿宋" w:hAnsi="仿宋"/>
      <w:sz w:val="44"/>
    </w:rPr>
  </w:style>
  <w:style w:type="paragraph" w:customStyle="1" w:styleId="27">
    <w:name w:val="封面-项目名称"/>
    <w:basedOn w:val="14"/>
    <w:next w:val="14"/>
    <w:qFormat/>
    <w:uiPriority w:val="0"/>
    <w:pPr>
      <w:spacing w:line="240" w:lineRule="auto"/>
      <w:ind w:firstLine="0" w:firstLineChars="0"/>
      <w:jc w:val="center"/>
    </w:pPr>
    <w:rPr>
      <w:rFonts w:hAnsi="宋体" w:cs="仿宋"/>
      <w:b/>
      <w:sz w:val="84"/>
      <w:szCs w:val="28"/>
    </w:rPr>
  </w:style>
  <w:style w:type="paragraph" w:customStyle="1" w:styleId="28">
    <w:name w:val="封面-项目标号"/>
    <w:next w:val="14"/>
    <w:qFormat/>
    <w:uiPriority w:val="0"/>
    <w:pPr>
      <w:jc w:val="center"/>
    </w:pPr>
    <w:rPr>
      <w:rFonts w:ascii="仿宋" w:hAnsi="仿宋" w:eastAsia="仿宋" w:cstheme="minorBidi"/>
      <w:sz w:val="36"/>
    </w:rPr>
  </w:style>
  <w:style w:type="paragraph" w:customStyle="1" w:styleId="29">
    <w:name w:val="封面-投标文件"/>
    <w:basedOn w:val="14"/>
    <w:next w:val="14"/>
    <w:qFormat/>
    <w:uiPriority w:val="0"/>
    <w:pPr>
      <w:ind w:firstLine="0" w:firstLineChars="0"/>
      <w:jc w:val="center"/>
    </w:pPr>
    <w:rPr>
      <w:rFonts w:hAnsi="宋体" w:cs="仿宋"/>
      <w:b/>
      <w:sz w:val="84"/>
      <w:szCs w:val="28"/>
    </w:rPr>
  </w:style>
  <w:style w:type="paragraph" w:customStyle="1" w:styleId="30">
    <w:name w:val="封面-公司名称地址"/>
    <w:basedOn w:val="14"/>
    <w:next w:val="14"/>
    <w:qFormat/>
    <w:uiPriority w:val="0"/>
    <w:pPr>
      <w:ind w:firstLine="0" w:firstLineChars="0"/>
      <w:jc w:val="center"/>
    </w:pPr>
    <w:rPr>
      <w:rFonts w:ascii="仿宋" w:hAnsi="仿宋" w:eastAsia="仿宋" w:cs="仿宋"/>
      <w:sz w:val="30"/>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2020-12-17T03:37:00Z</dcterms:created>
  <dc:creator>恍若゛隔世い</dc:creator>
  <cp:lastModifiedBy>恍若゛隔世い</cp:lastModifiedBy>
  <dcterms:modified xsi:type="dcterms:W3CDTF">2022-05-31T06:49:27Z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