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ind w:leftChars="0"/>
        <w:jc w:val="center"/>
      </w:pPr>
      <w:r>
        <w:rPr>
          <w:rFonts w:hint="eastAsia"/>
        </w:rPr>
        <w:t>云冈区税收管理领域基层政务公开标准目录</w:t>
      </w:r>
    </w:p>
    <w:tbl>
      <w:tblPr>
        <w:tblStyle w:val="22"/>
        <w:tblW w:w="518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86"/>
        <w:gridCol w:w="726"/>
        <w:gridCol w:w="746"/>
        <w:gridCol w:w="1507"/>
        <w:gridCol w:w="1759"/>
        <w:gridCol w:w="949"/>
        <w:gridCol w:w="569"/>
        <w:gridCol w:w="935"/>
        <w:gridCol w:w="3046"/>
        <w:gridCol w:w="555"/>
        <w:gridCol w:w="650"/>
        <w:gridCol w:w="282"/>
        <w:gridCol w:w="505"/>
        <w:gridCol w:w="473"/>
        <w:gridCol w:w="621"/>
        <w:gridCol w:w="7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序号</w:t>
            </w:r>
          </w:p>
        </w:tc>
        <w:tc>
          <w:tcPr>
            <w:tcW w:w="507" w:type="pct"/>
            <w:gridSpan w:val="2"/>
            <w:tcBorders>
              <w:tl2br w:val="nil"/>
              <w:tr2bl w:val="nil"/>
            </w:tcBorders>
            <w:noWrap w:val="0"/>
            <w:tcMar>
              <w:top w:w="15" w:type="dxa"/>
              <w:left w:w="15" w:type="dxa"/>
              <w:right w:w="15" w:type="dxa"/>
            </w:tcMar>
            <w:vAlign w:val="center"/>
          </w:tcPr>
          <w:p>
            <w:pPr>
              <w:widowControl/>
              <w:jc w:val="center"/>
              <w:textAlignment w:val="top"/>
              <w:rPr>
                <w:rFonts w:ascii="黑体" w:hAnsi="宋体" w:eastAsia="黑体" w:cs="黑体"/>
                <w:b/>
                <w:color w:val="000000"/>
                <w:sz w:val="22"/>
                <w:szCs w:val="22"/>
              </w:rPr>
            </w:pPr>
            <w:r>
              <w:rPr>
                <w:rFonts w:hint="eastAsia" w:ascii="黑体" w:hAnsi="宋体" w:eastAsia="黑体" w:cs="黑体"/>
                <w:b/>
                <w:color w:val="000000"/>
                <w:kern w:val="0"/>
                <w:sz w:val="22"/>
                <w:szCs w:val="22"/>
              </w:rPr>
              <w:t>公开事项</w:t>
            </w:r>
          </w:p>
        </w:tc>
        <w:tc>
          <w:tcPr>
            <w:tcW w:w="519"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公开内容（要素）</w:t>
            </w:r>
          </w:p>
        </w:tc>
        <w:tc>
          <w:tcPr>
            <w:tcW w:w="606"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公开依据</w:t>
            </w:r>
          </w:p>
        </w:tc>
        <w:tc>
          <w:tcPr>
            <w:tcW w:w="327"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公开时限</w:t>
            </w:r>
          </w:p>
        </w:tc>
        <w:tc>
          <w:tcPr>
            <w:tcW w:w="196"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公开主体</w:t>
            </w:r>
          </w:p>
        </w:tc>
        <w:tc>
          <w:tcPr>
            <w:tcW w:w="322"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kern w:val="0"/>
                <w:sz w:val="22"/>
                <w:szCs w:val="22"/>
              </w:rPr>
            </w:pPr>
            <w:r>
              <w:rPr>
                <w:rFonts w:hint="eastAsia" w:ascii="黑体" w:hAnsi="宋体" w:eastAsia="黑体" w:cs="黑体"/>
                <w:b/>
                <w:color w:val="000000"/>
                <w:kern w:val="0"/>
                <w:sz w:val="22"/>
                <w:szCs w:val="22"/>
              </w:rPr>
              <w:t>责任股（室）</w:t>
            </w:r>
          </w:p>
        </w:tc>
        <w:tc>
          <w:tcPr>
            <w:tcW w:w="1049"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公开渠道和载体</w:t>
            </w:r>
          </w:p>
        </w:tc>
        <w:tc>
          <w:tcPr>
            <w:tcW w:w="415" w:type="pct"/>
            <w:gridSpan w:val="2"/>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公开对象</w:t>
            </w:r>
          </w:p>
        </w:tc>
        <w:tc>
          <w:tcPr>
            <w:tcW w:w="271" w:type="pct"/>
            <w:gridSpan w:val="2"/>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公开方式</w:t>
            </w:r>
          </w:p>
        </w:tc>
        <w:tc>
          <w:tcPr>
            <w:tcW w:w="377" w:type="pct"/>
            <w:gridSpan w:val="2"/>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公开层级</w:t>
            </w:r>
          </w:p>
        </w:tc>
        <w:tc>
          <w:tcPr>
            <w:tcW w:w="272" w:type="pct"/>
            <w:vMerge w:val="restar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kern w:val="0"/>
                <w:sz w:val="22"/>
                <w:szCs w:val="22"/>
              </w:rPr>
            </w:pPr>
            <w:r>
              <w:rPr>
                <w:rFonts w:hint="eastAsia" w:ascii="黑体" w:hAnsi="宋体" w:eastAsia="黑体" w:cs="黑体"/>
                <w:b/>
                <w:color w:val="000000"/>
                <w:kern w:val="0"/>
                <w:sz w:val="22"/>
                <w:szCs w:val="22"/>
              </w:rPr>
              <w:t>咨询监督电话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vMerge w:val="continue"/>
            <w:tcBorders>
              <w:tl2br w:val="nil"/>
              <w:tr2bl w:val="nil"/>
            </w:tcBorders>
            <w:noWrap w:val="0"/>
            <w:tcMar>
              <w:top w:w="15" w:type="dxa"/>
              <w:left w:w="15" w:type="dxa"/>
              <w:right w:w="15" w:type="dxa"/>
            </w:tcMar>
            <w:vAlign w:val="center"/>
          </w:tcPr>
          <w:p>
            <w:pPr>
              <w:jc w:val="center"/>
              <w:rPr>
                <w:rFonts w:ascii="黑体" w:hAnsi="宋体" w:eastAsia="黑体" w:cs="黑体"/>
                <w:b/>
                <w:color w:val="000000"/>
                <w:sz w:val="22"/>
                <w:szCs w:val="22"/>
              </w:rPr>
            </w:pPr>
          </w:p>
        </w:tc>
        <w:tc>
          <w:tcPr>
            <w:tcW w:w="250" w:type="pct"/>
            <w:tcBorders>
              <w:tl2br w:val="nil"/>
              <w:tr2bl w:val="nil"/>
            </w:tcBorders>
            <w:noWrap w:val="0"/>
            <w:tcMar>
              <w:top w:w="15" w:type="dxa"/>
              <w:left w:w="15" w:type="dxa"/>
              <w:right w:w="15" w:type="dxa"/>
            </w:tcMar>
            <w:vAlign w:val="center"/>
          </w:tcPr>
          <w:p>
            <w:pPr>
              <w:widowControl/>
              <w:jc w:val="center"/>
              <w:textAlignment w:val="top"/>
              <w:rPr>
                <w:rFonts w:ascii="黑体" w:hAnsi="宋体" w:eastAsia="黑体" w:cs="黑体"/>
                <w:b/>
                <w:color w:val="000000"/>
                <w:sz w:val="22"/>
                <w:szCs w:val="22"/>
              </w:rPr>
            </w:pPr>
            <w:r>
              <w:rPr>
                <w:rFonts w:hint="eastAsia" w:ascii="黑体" w:hAnsi="宋体" w:eastAsia="黑体" w:cs="黑体"/>
                <w:b/>
                <w:color w:val="000000"/>
                <w:kern w:val="0"/>
                <w:sz w:val="22"/>
                <w:szCs w:val="22"/>
              </w:rPr>
              <w:t>一级事项</w:t>
            </w:r>
          </w:p>
        </w:tc>
        <w:tc>
          <w:tcPr>
            <w:tcW w:w="257" w:type="pct"/>
            <w:tcBorders>
              <w:tl2br w:val="nil"/>
              <w:tr2bl w:val="nil"/>
            </w:tcBorders>
            <w:noWrap w:val="0"/>
            <w:tcMar>
              <w:top w:w="15" w:type="dxa"/>
              <w:left w:w="15" w:type="dxa"/>
              <w:right w:w="15" w:type="dxa"/>
            </w:tcMar>
            <w:vAlign w:val="center"/>
          </w:tcPr>
          <w:p>
            <w:pPr>
              <w:widowControl/>
              <w:jc w:val="center"/>
              <w:textAlignment w:val="top"/>
              <w:rPr>
                <w:rFonts w:ascii="黑体" w:hAnsi="宋体" w:eastAsia="黑体" w:cs="黑体"/>
                <w:b/>
                <w:color w:val="000000"/>
                <w:sz w:val="22"/>
                <w:szCs w:val="22"/>
              </w:rPr>
            </w:pPr>
            <w:r>
              <w:rPr>
                <w:rFonts w:hint="eastAsia" w:ascii="黑体" w:hAnsi="宋体" w:eastAsia="黑体" w:cs="黑体"/>
                <w:b/>
                <w:color w:val="000000"/>
                <w:kern w:val="0"/>
                <w:sz w:val="22"/>
                <w:szCs w:val="22"/>
              </w:rPr>
              <w:t>二级事项</w:t>
            </w:r>
          </w:p>
        </w:tc>
        <w:tc>
          <w:tcPr>
            <w:tcW w:w="519" w:type="pct"/>
            <w:vMerge w:val="continue"/>
            <w:tcBorders>
              <w:tl2br w:val="nil"/>
              <w:tr2bl w:val="nil"/>
            </w:tcBorders>
            <w:noWrap w:val="0"/>
            <w:tcMar>
              <w:top w:w="15" w:type="dxa"/>
              <w:left w:w="15" w:type="dxa"/>
              <w:right w:w="15" w:type="dxa"/>
            </w:tcMar>
            <w:vAlign w:val="center"/>
          </w:tcPr>
          <w:p>
            <w:pPr>
              <w:jc w:val="center"/>
              <w:rPr>
                <w:rFonts w:ascii="黑体" w:hAnsi="宋体" w:eastAsia="黑体" w:cs="黑体"/>
                <w:b/>
                <w:color w:val="000000"/>
                <w:sz w:val="22"/>
                <w:szCs w:val="22"/>
              </w:rPr>
            </w:pPr>
          </w:p>
        </w:tc>
        <w:tc>
          <w:tcPr>
            <w:tcW w:w="606" w:type="pct"/>
            <w:vMerge w:val="continue"/>
            <w:tcBorders>
              <w:tl2br w:val="nil"/>
              <w:tr2bl w:val="nil"/>
            </w:tcBorders>
            <w:noWrap w:val="0"/>
            <w:tcMar>
              <w:top w:w="15" w:type="dxa"/>
              <w:left w:w="15" w:type="dxa"/>
              <w:right w:w="15" w:type="dxa"/>
            </w:tcMar>
            <w:vAlign w:val="center"/>
          </w:tcPr>
          <w:p>
            <w:pPr>
              <w:jc w:val="left"/>
              <w:rPr>
                <w:rFonts w:ascii="黑体" w:hAnsi="宋体" w:eastAsia="黑体" w:cs="黑体"/>
                <w:b/>
                <w:color w:val="000000"/>
                <w:sz w:val="22"/>
                <w:szCs w:val="22"/>
              </w:rPr>
            </w:pPr>
          </w:p>
        </w:tc>
        <w:tc>
          <w:tcPr>
            <w:tcW w:w="327" w:type="pct"/>
            <w:vMerge w:val="continue"/>
            <w:tcBorders>
              <w:tl2br w:val="nil"/>
              <w:tr2bl w:val="nil"/>
            </w:tcBorders>
            <w:noWrap w:val="0"/>
            <w:tcMar>
              <w:top w:w="15" w:type="dxa"/>
              <w:left w:w="15" w:type="dxa"/>
              <w:right w:w="15" w:type="dxa"/>
            </w:tcMar>
            <w:vAlign w:val="center"/>
          </w:tcPr>
          <w:p>
            <w:pPr>
              <w:jc w:val="center"/>
              <w:rPr>
                <w:rFonts w:ascii="黑体" w:hAnsi="宋体" w:eastAsia="黑体" w:cs="黑体"/>
                <w:b/>
                <w:color w:val="000000"/>
                <w:sz w:val="22"/>
                <w:szCs w:val="22"/>
              </w:rPr>
            </w:pPr>
          </w:p>
        </w:tc>
        <w:tc>
          <w:tcPr>
            <w:tcW w:w="196" w:type="pct"/>
            <w:vMerge w:val="continue"/>
            <w:tcBorders>
              <w:tl2br w:val="nil"/>
              <w:tr2bl w:val="nil"/>
            </w:tcBorders>
            <w:noWrap w:val="0"/>
            <w:tcMar>
              <w:top w:w="15" w:type="dxa"/>
              <w:left w:w="15" w:type="dxa"/>
              <w:right w:w="15" w:type="dxa"/>
            </w:tcMar>
            <w:vAlign w:val="center"/>
          </w:tcPr>
          <w:p>
            <w:pPr>
              <w:jc w:val="center"/>
              <w:rPr>
                <w:rFonts w:ascii="黑体" w:hAnsi="宋体" w:eastAsia="黑体" w:cs="黑体"/>
                <w:b/>
                <w:color w:val="000000"/>
                <w:sz w:val="22"/>
                <w:szCs w:val="22"/>
              </w:rPr>
            </w:pPr>
          </w:p>
        </w:tc>
        <w:tc>
          <w:tcPr>
            <w:tcW w:w="322" w:type="pct"/>
            <w:vMerge w:val="continue"/>
            <w:tcBorders>
              <w:tl2br w:val="nil"/>
              <w:tr2bl w:val="nil"/>
            </w:tcBorders>
            <w:noWrap w:val="0"/>
            <w:tcMar>
              <w:top w:w="15" w:type="dxa"/>
              <w:left w:w="15" w:type="dxa"/>
              <w:right w:w="15" w:type="dxa"/>
            </w:tcMar>
            <w:vAlign w:val="center"/>
          </w:tcPr>
          <w:p>
            <w:pPr>
              <w:jc w:val="left"/>
              <w:rPr>
                <w:rFonts w:ascii="黑体" w:hAnsi="宋体" w:eastAsia="黑体" w:cs="黑体"/>
                <w:b/>
                <w:color w:val="000000"/>
                <w:sz w:val="22"/>
                <w:szCs w:val="22"/>
              </w:rPr>
            </w:pPr>
          </w:p>
        </w:tc>
        <w:tc>
          <w:tcPr>
            <w:tcW w:w="1049" w:type="pct"/>
            <w:vMerge w:val="continue"/>
            <w:tcBorders>
              <w:tl2br w:val="nil"/>
              <w:tr2bl w:val="nil"/>
            </w:tcBorders>
            <w:noWrap w:val="0"/>
            <w:tcMar>
              <w:top w:w="15" w:type="dxa"/>
              <w:left w:w="15" w:type="dxa"/>
              <w:right w:w="15" w:type="dxa"/>
            </w:tcMar>
            <w:vAlign w:val="center"/>
          </w:tcPr>
          <w:p>
            <w:pPr>
              <w:jc w:val="left"/>
              <w:rPr>
                <w:rFonts w:ascii="黑体" w:hAnsi="宋体" w:eastAsia="黑体" w:cs="黑体"/>
                <w:b/>
                <w:color w:val="000000"/>
                <w:sz w:val="22"/>
                <w:szCs w:val="22"/>
              </w:rPr>
            </w:pP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全社会</w:t>
            </w:r>
          </w:p>
        </w:tc>
        <w:tc>
          <w:tcPr>
            <w:tcW w:w="224" w:type="pc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特定</w:t>
            </w:r>
            <w:r>
              <w:rPr>
                <w:rFonts w:hint="eastAsia" w:ascii="黑体" w:hAnsi="宋体" w:eastAsia="黑体" w:cs="黑体"/>
                <w:b/>
                <w:color w:val="000000"/>
                <w:kern w:val="0"/>
                <w:sz w:val="22"/>
                <w:szCs w:val="22"/>
              </w:rPr>
              <w:br w:type="textWrapping"/>
            </w:r>
            <w:r>
              <w:rPr>
                <w:rFonts w:hint="eastAsia" w:ascii="黑体" w:hAnsi="宋体" w:eastAsia="黑体" w:cs="黑体"/>
                <w:b/>
                <w:color w:val="000000"/>
                <w:kern w:val="0"/>
                <w:sz w:val="22"/>
                <w:szCs w:val="22"/>
              </w:rPr>
              <w:t>群体</w:t>
            </w: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主动</w:t>
            </w:r>
          </w:p>
        </w:tc>
        <w:tc>
          <w:tcPr>
            <w:tcW w:w="174" w:type="pc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依申请</w:t>
            </w: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县级</w:t>
            </w:r>
          </w:p>
        </w:tc>
        <w:tc>
          <w:tcPr>
            <w:tcW w:w="214" w:type="pct"/>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2"/>
                <w:szCs w:val="22"/>
              </w:rPr>
              <w:t>乡级</w:t>
            </w:r>
          </w:p>
        </w:tc>
        <w:tc>
          <w:tcPr>
            <w:tcW w:w="272" w:type="pct"/>
            <w:vMerge w:val="continue"/>
            <w:tcBorders>
              <w:tl2br w:val="nil"/>
              <w:tr2bl w:val="nil"/>
            </w:tcBorders>
            <w:noWrap w:val="0"/>
            <w:tcMar>
              <w:top w:w="15" w:type="dxa"/>
              <w:left w:w="15" w:type="dxa"/>
              <w:right w:w="15" w:type="dxa"/>
            </w:tcMar>
            <w:vAlign w:val="center"/>
          </w:tcPr>
          <w:p>
            <w:pPr>
              <w:widowControl/>
              <w:jc w:val="center"/>
              <w:textAlignment w:val="center"/>
              <w:rPr>
                <w:rFonts w:ascii="黑体" w:hAnsi="宋体" w:eastAsia="黑体" w:cs="黑体"/>
                <w:b/>
                <w:color w:val="000000"/>
                <w:kern w:val="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w:t>
            </w:r>
          </w:p>
        </w:tc>
        <w:tc>
          <w:tcPr>
            <w:tcW w:w="250" w:type="pct"/>
            <w:vMerge w:val="restar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政策法规</w:t>
            </w: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税收法律法规</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税务机关履职相关的法律、法规、规章</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1.《中华人民共和国政府信息公开条例》（中华人民共和国国务院令第711号）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2.《国家税务总局关于印发&lt;全面推进政务公开工作实施办法&gt;的通知》（税总发〔2017〕44号）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hint="eastAsia" w:ascii="仿宋" w:hAnsi="仿宋" w:eastAsia="仿宋" w:cs="仿宋"/>
                <w:bCs/>
                <w:color w:val="000000"/>
                <w:kern w:val="0"/>
                <w:sz w:val="18"/>
                <w:szCs w:val="18"/>
              </w:rPr>
            </w:pPr>
            <w:r>
              <w:rPr>
                <w:rFonts w:hint="eastAsia" w:ascii="仿宋" w:hAnsi="仿宋" w:eastAsia="仿宋" w:cs="仿宋"/>
                <w:bCs/>
                <w:color w:val="000000"/>
                <w:kern w:val="0"/>
                <w:sz w:val="18"/>
                <w:szCs w:val="18"/>
              </w:rPr>
              <w:t>法制股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7778379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2</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税收规范性文件</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税务机关履职相关的规范性文件</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1.《中华人民共和国政府信息公开条例》（中华人民共和国国务院令第711号）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2.《国家税务总局关于印发&lt;全面推进政务公开工作实施办法&gt;的通知》（税总发〔2017〕44号）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法制股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7778379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3</w:t>
            </w:r>
          </w:p>
        </w:tc>
        <w:tc>
          <w:tcPr>
            <w:tcW w:w="250" w:type="pct"/>
            <w:vMerge w:val="restar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纳税服务</w:t>
            </w: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纳税人权利</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税收法律法规规定的纳税人权利</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xml:space="preserve">1.《中华人民共和国税收征收管理法》    </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2.《国家税务总局关于纳税人权利与义务的公告》（公告2009年第1号）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纳服股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4</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纳税人义务</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税收法律法规规定的纳税人义务</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xml:space="preserve">1.《中华人民共和国税收征收管理法》    </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2.《国家税务总局关于纳税人权利与义务的公告》（公告2009年第1号）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征管股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5</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A级纳税人名单</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1.纳税人识别号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2.纳税人名称</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3.评价年度</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1.《国家税务总局关于明确纳税信用管理若干业务口径的公告》（国家税务总局公告2015年第85号）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2.《国家税务总局关于印发&lt;全面推进政务公开工作实施办法&gt;的通知》（税总发〔2017〕44号）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纳服股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6</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涉税专业服务相关信息</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1.纳入监管的涉税专业服务机构名单及其信用情况</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2.未经行政登记的税务师事务所名单</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3.涉税服务失信名录</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1.《涉税专业服务监管办法（试行）》（国家税务总局公告2017年第13号）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xml:space="preserve">2.《涉税专业服务信用评价管理办法（试行）》（国家税务总局公告2017年第48号） </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3.《国家税务总局关于印发&lt;全国税务系统深化“放管服”改革五年工作方案（2018年-2022年）全面推进政务公开工作实施办法&gt;的通知》（税总发〔2018〕199号）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纳服股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7</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办税地图</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1.办税服务厅名称</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2.地址</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3.电话</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4.办公时间</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5.主要职责</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《国家税务总局关于印发&lt;全面推进政务公开工作实施办法&gt;的通知》（税总发〔2017〕44号）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纳服股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8</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办税日历</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1.申报征收期</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2.申报征收项目</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3.备注</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《国家税务总局关于印发&lt;全面推进政务公开工作实施办法&gt;的通知》（税总发〔2017〕44号）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纳服股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9</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办税指南</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1.事项名称</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xml:space="preserve">2.设定依据 </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3.申请条件</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4.办理材料</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5.办理地点</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6.办理机构</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7.收费标准</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8.办理时间</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9.联系电话</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10.办理流程</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11.纳税人注意事项</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12.政策依据</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《国家税务总局关于印发&lt;全面推进政务公开工作实施办法&gt;的通知》（税总发〔2017〕44号）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纳服股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10</w:t>
            </w:r>
          </w:p>
        </w:tc>
        <w:tc>
          <w:tcPr>
            <w:tcW w:w="250" w:type="pct"/>
            <w:vMerge w:val="restar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行政执法</w:t>
            </w: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权责清单</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1.职权名称           2.设定依据            3.履责方式             4.追责情形            5.权责事项信息表（包括基本信息、办理信息、监管措施、咨询查询、行政相对人责任、监督责任、法律救济、行政职权运行流程图等）</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《国家税务总局关于印发&lt;全面推进政务公开工作实施办法&gt;的通知》（税总发〔2017〕44号）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法制股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7778379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11</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准予行政许可决定公示</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1.行政许可决定书及其文号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2.设定依据</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3.项目名称</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4.行政相对人统一社会信用代码</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5.审批部门</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《国家税务总局办公厅关于做好行政许可和行政处罚等信用信息公示工作的通知》（税总办发〔2016〕19号）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在做出行政许可决定之日起7个工作日内完成公示</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税政股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12</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行政处罚决定和结果公示</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1.行政处罚决定书文号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2.执法依据</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3.案件名称</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4.行政相对人统一社会信用代码</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5.处罚事由</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6.作出处罚决定的部门</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7.处罚结果</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1.《国家税务总局关于印发&lt;全面推进政务公开工作实施办法&gt;的通知》（税总发〔2017〕44号）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2.《国家税务总局办公厅关于做好行政许可和行政处罚等信用信息公示工作的通知》（税总办发〔2016〕19号）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在做出行政处罚决定之日起7个工作日内完成公示</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法制股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7778379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13</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非正常户公告</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纳税人为企业或单位的，公告企业或单位的名称、纳税人识别号、法定代表人或负责人姓名、居民身份证或其他有效身份证件号码（隐去出生年、月、日6位数）、经营地点；纳税人为个体工商户的，公告业户名称、业主姓名、纳税人识别号、居民身份证或其他有效身份证件号码（隐去出生年、月、日6位数）、经营地点</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1.《中华人民共和国税收征收管理法》</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2.《中华人民共和国税收征收管理法实施细则》(国务院令第362号公布,国务院令第666号《国务院关于修改部分行政法规的决定》第三次修订)</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3.《国家税务总局关于进一步完善税务登记管理有关问题的公告》（国家税务总局公告 2011年第21号）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在非正常户认定的次月公告非正常户</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征管股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14</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欠税公告</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1.企业或单位欠税的：</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公告企业或单位的名称、纳税人识别号、法定代表人或负责人姓名、居民身份证或其他有效身份证件号码（隐去出生年、月、日6位数）、经营地点、欠税税种、欠税余额和当期新发生的欠税金额；</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2.个体工商户欠税的：</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公告业户名称、业主姓名、纳税人识别号、居民身份证或其他有效身份证件号码（隐去出生年、月、日6位数）、经营地点、欠税税种、欠税余额和当期新发生的欠税金额；</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3.个人（不含个体工商户）欠税的：</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xml:space="preserve">公告其姓名、居民身份证或其他有效身份证件号码（隐去出生年、月、日6位数）、欠税税种、欠税余额和当期新发生的欠税金额                                                                               </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4.对走逃、失踪的纳税户以及其他经税务机关查无下落的纳税人欠税的，由各省、自治区、直辖市和计划单列市税务局公告</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1.《中华人民共和国税收征收管理法》</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2.《中华人民共和国税收征收管理法实施细则》(国务院令第362号公布,国务院令第666号《国务院关于修改部分行政法规的决定》第三次修订)</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3.《欠税公告办法（试行）》（国家税务总局令第 9 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企业或单位欠税的，每季公告一次；个体工商户和其他个人欠税的，每半年公告一次；走逃、失踪的纳税户以及其他经税务机关查无下落的非正常户欠税的，随时公告</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征管股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15</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个体工商户定额公示（公布）公告</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1.纳税人名称</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w:t>
            </w:r>
            <w:bookmarkStart w:id="0" w:name="_GoBack"/>
            <w:bookmarkEnd w:id="0"/>
            <w:r>
              <w:rPr>
                <w:rFonts w:hint="eastAsia" w:ascii="仿宋" w:hAnsi="仿宋" w:eastAsia="仿宋" w:cs="仿宋"/>
                <w:bCs/>
                <w:color w:val="000000"/>
                <w:kern w:val="0"/>
                <w:sz w:val="18"/>
                <w:szCs w:val="18"/>
                <w:lang w:eastAsia="zh-CN"/>
              </w:rPr>
              <w:t>统一社会信用代码</w:t>
            </w:r>
            <w:r>
              <w:rPr>
                <w:rFonts w:hint="eastAsia" w:ascii="仿宋" w:hAnsi="仿宋" w:eastAsia="仿宋" w:cs="仿宋"/>
                <w:bCs/>
                <w:color w:val="000000"/>
                <w:kern w:val="0"/>
                <w:sz w:val="18"/>
                <w:szCs w:val="18"/>
              </w:rPr>
              <w:t>（纳税人识别号）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3.生产经营地址</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4.定额项目</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5.行业类别</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6.核定定额</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7.应纳税额</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8.定额执行起止日期</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9.主管税务机关</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1.《中华人民共和国税收征收管理法》</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2.《中华人民共和国税收征收管理法实施细则》(国务院令第362号公布,国务院令第666号《国务院关于修改部分行政法规的决定》第三次修订)</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3.《国家税务总局关于印发个体工商户税收定期定额征收管理文书的通知》（国税函〔2006〕1199 号）</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4.《国家税务总局关于个体工商户定期定额征收管理有关问题的通知》（国税发〔2006〕183号）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r>
              <w:rPr>
                <w:rFonts w:hint="eastAsia" w:ascii="仿宋" w:hAnsi="仿宋" w:eastAsia="仿宋" w:cs="仿宋"/>
                <w:bCs/>
                <w:color w:val="000000"/>
                <w:kern w:val="0"/>
                <w:sz w:val="18"/>
                <w:szCs w:val="18"/>
              </w:rPr>
              <w:t>征管股</w:t>
            </w: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r>
              <w:rPr>
                <w:rFonts w:hint="eastAsia" w:ascii="仿宋" w:hAnsi="仿宋" w:eastAsia="仿宋" w:cs="仿宋"/>
                <w:bCs/>
                <w:color w:val="000000"/>
                <w:sz w:val="18"/>
                <w:szCs w:val="18"/>
              </w:rPr>
              <w:t>7193806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13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16</w:t>
            </w:r>
          </w:p>
        </w:tc>
        <w:tc>
          <w:tcPr>
            <w:tcW w:w="250" w:type="pct"/>
            <w:vMerge w:val="continue"/>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5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委托代征公告</w:t>
            </w:r>
          </w:p>
        </w:tc>
        <w:tc>
          <w:tcPr>
            <w:tcW w:w="519"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1.税务机关和代征人的名称、联系电话,代征人为行政、事业、企业单位及其他社会组织的，应包括法定代表人或负责人姓名和地址；代征人为自然人的，应包括姓名、户口所在地、现居住地址</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2.委托代征的范围和期限</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3.委托代征的税种及附加、计税依据及税率</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4.税务机关确定的其他需要公告的事项</w:t>
            </w:r>
          </w:p>
        </w:tc>
        <w:tc>
          <w:tcPr>
            <w:tcW w:w="606"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1.《中华人民共和国税收征收管理法》</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2.《中华人民共和国税收征收管理法实施细则》(国务院令第362号公布,国务院令第666号《国务院关于修改部分行政法规的决定》第三次修订)</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3.《国家税务总局关于发布＜委托代征管理办法＞的公告》（国家税务总局公告2013年第24号）</w:t>
            </w:r>
          </w:p>
        </w:tc>
        <w:tc>
          <w:tcPr>
            <w:tcW w:w="32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自该政府信息形成或者变更之日起20个工作日内及时公开</w:t>
            </w:r>
          </w:p>
        </w:tc>
        <w:tc>
          <w:tcPr>
            <w:tcW w:w="196"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税务主管部门</w:t>
            </w:r>
          </w:p>
        </w:tc>
        <w:tc>
          <w:tcPr>
            <w:tcW w:w="322"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kern w:val="0"/>
                <w:sz w:val="18"/>
                <w:szCs w:val="18"/>
              </w:rPr>
            </w:pPr>
          </w:p>
        </w:tc>
        <w:tc>
          <w:tcPr>
            <w:tcW w:w="1049" w:type="pct"/>
            <w:tcBorders>
              <w:tl2br w:val="nil"/>
              <w:tr2bl w:val="nil"/>
            </w:tcBorders>
            <w:noWrap w:val="0"/>
            <w:tcMar>
              <w:top w:w="15" w:type="dxa"/>
              <w:left w:w="15" w:type="dxa"/>
              <w:right w:w="15" w:type="dxa"/>
            </w:tcMar>
            <w:vAlign w:val="center"/>
          </w:tcPr>
          <w:p>
            <w:pPr>
              <w:widowControl/>
              <w:jc w:val="left"/>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 政府网站   □ 政府公报    □ 两微一端   □ 发布会\听证会</w:t>
            </w:r>
            <w:r>
              <w:rPr>
                <w:rFonts w:hint="eastAsia" w:ascii="仿宋" w:hAnsi="仿宋" w:eastAsia="仿宋" w:cs="仿宋"/>
                <w:bCs/>
                <w:color w:val="000000"/>
                <w:kern w:val="0"/>
                <w:sz w:val="18"/>
                <w:szCs w:val="18"/>
              </w:rPr>
              <w:br w:type="textWrapping"/>
            </w:r>
            <w:r>
              <w:rPr>
                <w:rFonts w:hint="eastAsia" w:ascii="仿宋" w:hAnsi="仿宋" w:eastAsia="仿宋" w:cs="仿宋"/>
                <w:bCs/>
                <w:color w:val="000000"/>
                <w:kern w:val="0"/>
                <w:sz w:val="18"/>
                <w:szCs w:val="18"/>
              </w:rPr>
              <w:t>□ 广播电视   □ 纸质媒体    □ 公开查阅点 □ 政务服务中心 □ 便民服务站 □ 入户/现场   □ 社区/企事业单位/村公示栏（电子屏）                      □ 精准推送 ■ 其他：办税服务厅</w:t>
            </w:r>
          </w:p>
        </w:tc>
        <w:tc>
          <w:tcPr>
            <w:tcW w:w="191"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2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97"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17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163" w:type="pct"/>
            <w:tcBorders>
              <w:tl2br w:val="nil"/>
              <w:tr2bl w:val="nil"/>
            </w:tcBorders>
            <w:noWrap w:val="0"/>
            <w:tcMar>
              <w:top w:w="15" w:type="dxa"/>
              <w:left w:w="15" w:type="dxa"/>
              <w:right w:w="15" w:type="dxa"/>
            </w:tcMar>
            <w:vAlign w:val="center"/>
          </w:tcPr>
          <w:p>
            <w:pPr>
              <w:widowControl/>
              <w:jc w:val="center"/>
              <w:textAlignment w:val="center"/>
              <w:rPr>
                <w:rFonts w:ascii="仿宋" w:hAnsi="仿宋" w:eastAsia="仿宋" w:cs="仿宋"/>
                <w:bCs/>
                <w:color w:val="000000"/>
                <w:sz w:val="18"/>
                <w:szCs w:val="18"/>
              </w:rPr>
            </w:pPr>
            <w:r>
              <w:rPr>
                <w:rFonts w:hint="eastAsia" w:ascii="仿宋" w:hAnsi="仿宋" w:eastAsia="仿宋" w:cs="仿宋"/>
                <w:bCs/>
                <w:color w:val="000000"/>
                <w:kern w:val="0"/>
                <w:sz w:val="18"/>
                <w:szCs w:val="18"/>
              </w:rPr>
              <w:t>√</w:t>
            </w:r>
          </w:p>
        </w:tc>
        <w:tc>
          <w:tcPr>
            <w:tcW w:w="214"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c>
          <w:tcPr>
            <w:tcW w:w="272" w:type="pct"/>
            <w:tcBorders>
              <w:tl2br w:val="nil"/>
              <w:tr2bl w:val="nil"/>
            </w:tcBorders>
            <w:noWrap w:val="0"/>
            <w:tcMar>
              <w:top w:w="15" w:type="dxa"/>
              <w:left w:w="15" w:type="dxa"/>
              <w:right w:w="15" w:type="dxa"/>
            </w:tcMar>
            <w:vAlign w:val="center"/>
          </w:tcPr>
          <w:p>
            <w:pPr>
              <w:jc w:val="center"/>
              <w:rPr>
                <w:rFonts w:ascii="仿宋" w:hAnsi="仿宋" w:eastAsia="仿宋" w:cs="仿宋"/>
                <w:bCs/>
                <w:color w:val="000000"/>
                <w:sz w:val="18"/>
                <w:szCs w:val="18"/>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lYTI1MmM0ZWVmOWVkNWQzZDNjMjQwMDcwNWJmNzYifQ=="/>
    <w:docVar w:name="KSO_WPS_MARK_KEY" w:val="48f6c506-7c3a-439e-a073-da5d15f94d9d"/>
  </w:docVars>
  <w:rsids>
    <w:rsidRoot w:val="3FB177FA"/>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3FB177FA"/>
    <w:rsid w:val="43105621"/>
    <w:rsid w:val="448E4664"/>
    <w:rsid w:val="47E65D8B"/>
    <w:rsid w:val="4BE84679"/>
    <w:rsid w:val="4FA37960"/>
    <w:rsid w:val="527C5CC8"/>
    <w:rsid w:val="55F15DF6"/>
    <w:rsid w:val="568A58EC"/>
    <w:rsid w:val="57127A7F"/>
    <w:rsid w:val="5EF2131C"/>
    <w:rsid w:val="635C6AFB"/>
    <w:rsid w:val="65810525"/>
    <w:rsid w:val="6E3E59E4"/>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4"/>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3">
    <w:name w:val="Default Paragraph Font"/>
    <w:semiHidden/>
    <w:unhideWhenUsed/>
    <w:qFormat/>
    <w:uiPriority w:val="1"/>
  </w:style>
  <w:style w:type="table" w:default="1" w:styleId="22">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w:basedOn w:val="1"/>
    <w:qFormat/>
    <w:uiPriority w:val="0"/>
    <w:pPr>
      <w:spacing w:after="120" w:afterLines="0" w:afterAutospacing="0"/>
    </w:pPr>
  </w:style>
  <w:style w:type="paragraph" w:styleId="13">
    <w:name w:val="Body Text Indent"/>
    <w:basedOn w:val="1"/>
    <w:qFormat/>
    <w:uiPriority w:val="0"/>
    <w:pPr>
      <w:spacing w:after="120" w:afterLines="0" w:afterAutospacing="0"/>
      <w:ind w:left="420" w:leftChars="200"/>
    </w:pPr>
  </w:style>
  <w:style w:type="paragraph" w:styleId="14">
    <w:name w:val="toc 3"/>
    <w:basedOn w:val="1"/>
    <w:next w:val="1"/>
    <w:qFormat/>
    <w:uiPriority w:val="0"/>
    <w:pPr>
      <w:ind w:left="0" w:leftChars="0"/>
    </w:pPr>
    <w:rPr>
      <w:rFonts w:ascii="仿宋" w:hAnsi="仿宋" w:cs="仿宋"/>
      <w:szCs w:val="28"/>
    </w:rPr>
  </w:style>
  <w:style w:type="paragraph" w:styleId="15">
    <w:name w:val="Plain Text"/>
    <w:basedOn w:val="1"/>
    <w:qFormat/>
    <w:uiPriority w:val="0"/>
    <w:rPr>
      <w:rFonts w:ascii="宋体" w:hAnsi="Courier New"/>
    </w:rPr>
  </w:style>
  <w:style w:type="paragraph" w:styleId="16">
    <w:name w:val="footer"/>
    <w:basedOn w:val="1"/>
    <w:qFormat/>
    <w:uiPriority w:val="0"/>
    <w:pPr>
      <w:tabs>
        <w:tab w:val="center" w:pos="4153"/>
        <w:tab w:val="right" w:pos="8306"/>
      </w:tabs>
      <w:snapToGrid w:val="0"/>
      <w:jc w:val="left"/>
    </w:pPr>
    <w:rPr>
      <w:sz w:val="18"/>
    </w:rPr>
  </w:style>
  <w:style w:type="paragraph" w:styleId="17">
    <w:name w:val="toc 1"/>
    <w:basedOn w:val="1"/>
    <w:next w:val="1"/>
    <w:qFormat/>
    <w:uiPriority w:val="0"/>
    <w:pPr>
      <w:ind w:firstLine="0" w:firstLineChars="0"/>
    </w:pPr>
    <w:rPr>
      <w:rFonts w:ascii="仿宋" w:hAnsi="仿宋" w:cs="仿宋"/>
      <w:b/>
      <w:szCs w:val="28"/>
    </w:rPr>
  </w:style>
  <w:style w:type="paragraph" w:styleId="18">
    <w:name w:val="toc 2"/>
    <w:basedOn w:val="1"/>
    <w:next w:val="1"/>
    <w:qFormat/>
    <w:uiPriority w:val="0"/>
    <w:pPr>
      <w:ind w:left="0" w:leftChars="0"/>
    </w:pPr>
    <w:rPr>
      <w:rFonts w:ascii="仿宋" w:hAnsi="仿宋" w:cs="仿宋"/>
      <w:szCs w:val="28"/>
    </w:rPr>
  </w:style>
  <w:style w:type="paragraph" w:styleId="19">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20">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21">
    <w:name w:val="Body Text First Indent 2"/>
    <w:basedOn w:val="13"/>
    <w:qFormat/>
    <w:uiPriority w:val="0"/>
    <w:pPr>
      <w:ind w:firstLine="420" w:firstLineChars="200"/>
    </w:pPr>
  </w:style>
  <w:style w:type="character" w:customStyle="1" w:styleId="24">
    <w:name w:val="标题 3 Char"/>
    <w:basedOn w:val="23"/>
    <w:link w:val="5"/>
    <w:qFormat/>
    <w:uiPriority w:val="9"/>
    <w:rPr>
      <w:rFonts w:ascii="Times New Roman" w:hAnsi="Times New Roman" w:eastAsia="仿宋" w:cs="Times New Roman"/>
      <w:b/>
      <w:bCs/>
      <w:sz w:val="30"/>
      <w:szCs w:val="32"/>
    </w:rPr>
  </w:style>
  <w:style w:type="paragraph" w:customStyle="1" w:styleId="25">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6">
    <w:name w:val="附注"/>
    <w:basedOn w:val="1"/>
    <w:next w:val="1"/>
    <w:qFormat/>
    <w:uiPriority w:val="0"/>
    <w:pPr>
      <w:spacing w:line="360" w:lineRule="exact"/>
    </w:pPr>
    <w:rPr>
      <w:rFonts w:ascii="仿宋" w:hAnsi="仿宋" w:eastAsia="仿宋" w:cs="仿宋"/>
      <w:b/>
      <w:i/>
      <w:sz w:val="24"/>
      <w:szCs w:val="28"/>
    </w:rPr>
  </w:style>
  <w:style w:type="paragraph" w:customStyle="1" w:styleId="27">
    <w:name w:val="居中加粗"/>
    <w:basedOn w:val="1"/>
    <w:qFormat/>
    <w:uiPriority w:val="0"/>
    <w:pPr>
      <w:ind w:firstLine="0" w:firstLineChars="0"/>
      <w:jc w:val="center"/>
    </w:pPr>
    <w:rPr>
      <w:rFonts w:ascii="仿宋" w:hAnsi="仿宋" w:cs="仿宋"/>
      <w:b/>
      <w:sz w:val="30"/>
      <w:szCs w:val="28"/>
    </w:rPr>
  </w:style>
  <w:style w:type="paragraph" w:customStyle="1" w:styleId="28">
    <w:name w:val="封面-公司名称"/>
    <w:basedOn w:val="1"/>
    <w:next w:val="20"/>
    <w:uiPriority w:val="0"/>
    <w:rPr>
      <w:rFonts w:ascii="仿宋" w:hAnsi="仿宋"/>
      <w:sz w:val="44"/>
    </w:rPr>
  </w:style>
  <w:style w:type="paragraph" w:customStyle="1" w:styleId="29">
    <w:name w:val="封面-项目名称"/>
    <w:basedOn w:val="15"/>
    <w:next w:val="15"/>
    <w:qFormat/>
    <w:uiPriority w:val="0"/>
    <w:pPr>
      <w:spacing w:line="240" w:lineRule="auto"/>
      <w:ind w:firstLine="0" w:firstLineChars="0"/>
      <w:jc w:val="center"/>
    </w:pPr>
    <w:rPr>
      <w:rFonts w:hAnsi="宋体" w:cs="仿宋"/>
      <w:b/>
      <w:sz w:val="84"/>
      <w:szCs w:val="28"/>
    </w:rPr>
  </w:style>
  <w:style w:type="paragraph" w:customStyle="1" w:styleId="30">
    <w:name w:val="封面-项目标号"/>
    <w:next w:val="15"/>
    <w:qFormat/>
    <w:uiPriority w:val="0"/>
    <w:pPr>
      <w:jc w:val="center"/>
    </w:pPr>
    <w:rPr>
      <w:rFonts w:ascii="仿宋" w:hAnsi="仿宋" w:eastAsia="仿宋" w:cstheme="minorBidi"/>
      <w:sz w:val="36"/>
    </w:rPr>
  </w:style>
  <w:style w:type="paragraph" w:customStyle="1" w:styleId="31">
    <w:name w:val="封面-投标文件"/>
    <w:basedOn w:val="15"/>
    <w:next w:val="15"/>
    <w:qFormat/>
    <w:uiPriority w:val="0"/>
    <w:pPr>
      <w:ind w:firstLine="0" w:firstLineChars="0"/>
      <w:jc w:val="center"/>
    </w:pPr>
    <w:rPr>
      <w:rFonts w:hAnsi="宋体" w:cs="仿宋"/>
      <w:b/>
      <w:sz w:val="84"/>
      <w:szCs w:val="28"/>
    </w:rPr>
  </w:style>
  <w:style w:type="paragraph" w:customStyle="1" w:styleId="32">
    <w:name w:val="封面-公司名称地址"/>
    <w:basedOn w:val="15"/>
    <w:next w:val="15"/>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4663</Words>
  <Characters>4972</Characters>
  <Lines>0</Lines>
  <Paragraphs>0</Paragraphs>
  <TotalTime>2</TotalTime>
  <ScaleCrop>false</ScaleCrop>
  <LinksUpToDate>false</LinksUpToDate>
  <CharactersWithSpaces>6057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2020-12-17T03:44:00Z</dcterms:created>
  <dc:creator>恍若゛隔世い</dc:creator>
  <cp:lastModifiedBy>小豹子</cp:lastModifiedBy>
  <dcterms:modified xsi:type="dcterms:W3CDTF">2025-03-03T07:20:37Z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5D91329590DD4E95B6F2E9FC0C365759_12</vt:lpwstr>
  </property>
</Properties>
</file>