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numId w:val="0"/>
        </w:numPr>
        <w:bidi w:val="0"/>
        <w:ind w:leftChars="0"/>
        <w:jc w:val="center"/>
      </w:pPr>
      <w:bookmarkStart w:id="1" w:name="_GoBack"/>
      <w:bookmarkEnd w:id="1"/>
      <w:bookmarkStart w:id="0" w:name="_Toc24896"/>
      <w:r>
        <w:rPr>
          <w:rFonts w:hint="eastAsia"/>
        </w:rPr>
        <w:t>云冈区保障性住房领域基层政务公开标准目录</w:t>
      </w:r>
      <w:bookmarkEnd w:id="0"/>
    </w:p>
    <w:tbl>
      <w:tblPr>
        <w:tblStyle w:val="2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
        <w:gridCol w:w="714"/>
        <w:gridCol w:w="1025"/>
        <w:gridCol w:w="1454"/>
        <w:gridCol w:w="3059"/>
        <w:gridCol w:w="720"/>
        <w:gridCol w:w="748"/>
        <w:gridCol w:w="695"/>
        <w:gridCol w:w="827"/>
        <w:gridCol w:w="485"/>
        <w:gridCol w:w="763"/>
        <w:gridCol w:w="424"/>
        <w:gridCol w:w="794"/>
        <w:gridCol w:w="401"/>
        <w:gridCol w:w="609"/>
        <w:gridCol w:w="1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143"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ascii="Times New Roman" w:hAnsi="Times New Roman"/>
                <w:color w:val="000000"/>
                <w:kern w:val="0"/>
                <w:sz w:val="22"/>
              </w:rPr>
            </w:pPr>
            <w:r>
              <w:rPr>
                <w:rFonts w:ascii="Times New Roman" w:hAnsi="宋体"/>
                <w:color w:val="000000"/>
                <w:kern w:val="0"/>
                <w:sz w:val="22"/>
              </w:rPr>
              <w:t>序号</w:t>
            </w:r>
          </w:p>
        </w:tc>
        <w:tc>
          <w:tcPr>
            <w:tcW w:w="613" w:type="pct"/>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513"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079"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254"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263"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245"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黑体" w:hAnsi="宋体" w:eastAsia="黑体" w:cs="宋体"/>
                <w:kern w:val="0"/>
                <w:sz w:val="22"/>
                <w:lang w:val="en-US" w:eastAsia="zh-CN"/>
              </w:rPr>
            </w:pPr>
            <w:r>
              <w:rPr>
                <w:rFonts w:hint="eastAsia" w:ascii="黑体" w:hAnsi="宋体" w:eastAsia="黑体" w:cs="宋体"/>
                <w:kern w:val="0"/>
                <w:sz w:val="22"/>
                <w:lang w:val="en-US" w:eastAsia="zh-CN"/>
              </w:rPr>
              <w:t>责任股室</w:t>
            </w:r>
          </w:p>
        </w:tc>
        <w:tc>
          <w:tcPr>
            <w:tcW w:w="292"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ascii="黑体" w:hAnsi="宋体" w:eastAsia="黑体" w:cs="宋体"/>
                <w:kern w:val="0"/>
                <w:sz w:val="22"/>
              </w:rPr>
            </w:pPr>
            <w:r>
              <w:rPr>
                <w:rFonts w:hint="eastAsia" w:ascii="黑体" w:hAnsi="宋体" w:eastAsia="黑体" w:cs="宋体"/>
                <w:kern w:val="0"/>
                <w:sz w:val="22"/>
              </w:rPr>
              <w:t>公开渠道和载体</w:t>
            </w:r>
          </w:p>
        </w:tc>
        <w:tc>
          <w:tcPr>
            <w:tcW w:w="440" w:type="pct"/>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429" w:type="pct"/>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356" w:type="pct"/>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ascii="黑体" w:hAnsi="宋体" w:eastAsia="黑体" w:cs="宋体"/>
                <w:color w:val="000000"/>
                <w:kern w:val="0"/>
                <w:sz w:val="22"/>
              </w:rPr>
            </w:pPr>
            <w:r>
              <w:rPr>
                <w:rFonts w:hint="eastAsia" w:ascii="黑体" w:hAnsi="宋体" w:eastAsia="黑体" w:cs="宋体"/>
                <w:color w:val="000000"/>
                <w:kern w:val="0"/>
                <w:sz w:val="22"/>
              </w:rPr>
              <w:t>公开层级</w:t>
            </w:r>
          </w:p>
        </w:tc>
        <w:tc>
          <w:tcPr>
            <w:tcW w:w="368"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黑体" w:hAnsi="宋体" w:eastAsia="黑体" w:cs="宋体"/>
                <w:color w:val="000000"/>
                <w:kern w:val="0"/>
                <w:sz w:val="22"/>
                <w:lang w:val="en-US" w:eastAsia="zh-CN"/>
              </w:rPr>
            </w:pPr>
            <w:r>
              <w:rPr>
                <w:rFonts w:hint="eastAsia" w:ascii="黑体" w:hAnsi="宋体" w:eastAsia="黑体" w:cs="宋体"/>
                <w:color w:val="000000"/>
                <w:kern w:val="0"/>
                <w:sz w:val="22"/>
                <w:lang w:val="en-US" w:eastAsia="zh-CN"/>
              </w:rPr>
              <w:t>咨询及监督电话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14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ascii="Times New Roman" w:hAnsi="Times New Roman"/>
                <w:color w:val="000000"/>
                <w:kern w:val="0"/>
                <w:sz w:val="22"/>
              </w:rPr>
            </w:pPr>
          </w:p>
        </w:tc>
        <w:tc>
          <w:tcPr>
            <w:tcW w:w="252" w:type="pct"/>
            <w:noWrap w:val="0"/>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361" w:type="pct"/>
            <w:noWrap w:val="0"/>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51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ascii="黑体" w:hAnsi="宋体" w:eastAsia="黑体" w:cs="宋体"/>
                <w:color w:val="000000"/>
                <w:kern w:val="0"/>
                <w:sz w:val="22"/>
              </w:rPr>
            </w:pPr>
          </w:p>
        </w:tc>
        <w:tc>
          <w:tcPr>
            <w:tcW w:w="1079"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ascii="黑体" w:hAnsi="宋体" w:eastAsia="黑体" w:cs="宋体"/>
                <w:color w:val="000000"/>
                <w:kern w:val="0"/>
                <w:sz w:val="22"/>
              </w:rPr>
            </w:pPr>
          </w:p>
        </w:tc>
        <w:tc>
          <w:tcPr>
            <w:tcW w:w="254"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ascii="黑体" w:hAnsi="宋体" w:eastAsia="黑体" w:cs="宋体"/>
                <w:color w:val="000000"/>
                <w:kern w:val="0"/>
                <w:sz w:val="22"/>
              </w:rPr>
            </w:pPr>
          </w:p>
        </w:tc>
        <w:tc>
          <w:tcPr>
            <w:tcW w:w="26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ascii="黑体" w:hAnsi="宋体" w:eastAsia="黑体" w:cs="宋体"/>
                <w:color w:val="000000"/>
                <w:kern w:val="0"/>
                <w:sz w:val="22"/>
              </w:rPr>
            </w:pPr>
          </w:p>
        </w:tc>
        <w:tc>
          <w:tcPr>
            <w:tcW w:w="245"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ascii="黑体" w:hAnsi="宋体" w:eastAsia="黑体" w:cs="宋体"/>
                <w:kern w:val="0"/>
                <w:sz w:val="22"/>
              </w:rPr>
            </w:pPr>
          </w:p>
        </w:tc>
        <w:tc>
          <w:tcPr>
            <w:tcW w:w="292"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ascii="黑体" w:hAnsi="宋体" w:eastAsia="黑体" w:cs="宋体"/>
                <w:kern w:val="0"/>
                <w:sz w:val="22"/>
              </w:rPr>
            </w:pPr>
          </w:p>
        </w:tc>
        <w:tc>
          <w:tcPr>
            <w:tcW w:w="171" w:type="pct"/>
            <w:noWrap w:val="0"/>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269" w:type="pct"/>
            <w:noWrap w:val="0"/>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149" w:type="pct"/>
            <w:noWrap w:val="0"/>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280" w:type="pct"/>
            <w:noWrap w:val="0"/>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141" w:type="pct"/>
            <w:noWrap w:val="0"/>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215" w:type="pct"/>
            <w:noWrap w:val="0"/>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ascii="黑体" w:hAnsi="宋体" w:eastAsia="黑体" w:cs="宋体"/>
                <w:color w:val="000000"/>
                <w:kern w:val="0"/>
                <w:sz w:val="22"/>
              </w:rPr>
            </w:pPr>
            <w:r>
              <w:rPr>
                <w:rFonts w:hint="eastAsia" w:ascii="黑体" w:hAnsi="宋体" w:eastAsia="黑体" w:cs="宋体"/>
                <w:color w:val="000000"/>
                <w:kern w:val="0"/>
                <w:sz w:val="22"/>
              </w:rPr>
              <w:t>乡、村级</w:t>
            </w:r>
          </w:p>
        </w:tc>
        <w:tc>
          <w:tcPr>
            <w:tcW w:w="368"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eastAsia" w:ascii="黑体" w:hAnsi="宋体" w:eastAsia="黑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143" w:type="pct"/>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_GB2312" w:hAnsi="宋体" w:eastAsia="仿宋_GB2312"/>
                <w:color w:val="000000"/>
                <w:sz w:val="21"/>
                <w:szCs w:val="21"/>
              </w:rPr>
            </w:pPr>
            <w:r>
              <w:rPr>
                <w:rFonts w:hint="eastAsia" w:ascii="仿宋_GB2312" w:hAnsi="宋体" w:eastAsia="仿宋_GB2312"/>
                <w:color w:val="000000"/>
                <w:sz w:val="21"/>
                <w:szCs w:val="21"/>
              </w:rPr>
              <w:t>1</w:t>
            </w:r>
          </w:p>
        </w:tc>
        <w:tc>
          <w:tcPr>
            <w:tcW w:w="252" w:type="pct"/>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_GB2312" w:hAnsi="宋体" w:eastAsia="仿宋_GB2312"/>
                <w:color w:val="000000"/>
                <w:sz w:val="21"/>
                <w:szCs w:val="21"/>
              </w:rPr>
            </w:pPr>
            <w:r>
              <w:rPr>
                <w:rFonts w:hint="eastAsia" w:ascii="仿宋_GB2312" w:hAnsi="宋体" w:eastAsia="仿宋_GB2312"/>
                <w:color w:val="000000"/>
                <w:sz w:val="21"/>
                <w:szCs w:val="21"/>
              </w:rPr>
              <w:t>保障性住房管理</w:t>
            </w:r>
          </w:p>
        </w:tc>
        <w:tc>
          <w:tcPr>
            <w:tcW w:w="361" w:type="pct"/>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_GB2312" w:hAnsi="宋体" w:eastAsia="仿宋_GB2312"/>
                <w:color w:val="000000"/>
                <w:sz w:val="21"/>
                <w:szCs w:val="21"/>
              </w:rPr>
            </w:pPr>
            <w:r>
              <w:rPr>
                <w:rFonts w:hint="eastAsia" w:ascii="仿宋_GB2312" w:hAnsi="宋体" w:eastAsia="仿宋_GB2312"/>
                <w:color w:val="000000"/>
                <w:sz w:val="21"/>
                <w:szCs w:val="21"/>
              </w:rPr>
              <w:t>城镇低收入住房保障家庭租赁补贴</w:t>
            </w:r>
          </w:p>
        </w:tc>
        <w:tc>
          <w:tcPr>
            <w:tcW w:w="513" w:type="pct"/>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olor w:val="000000"/>
                <w:sz w:val="21"/>
                <w:szCs w:val="21"/>
              </w:rPr>
            </w:pPr>
            <w:r>
              <w:rPr>
                <w:rFonts w:hint="eastAsia" w:ascii="仿宋" w:hAnsi="仿宋" w:eastAsia="仿宋"/>
                <w:color w:val="000000"/>
                <w:sz w:val="21"/>
                <w:szCs w:val="21"/>
              </w:rPr>
              <w:t>事项名称；</w:t>
            </w:r>
          </w:p>
          <w:p>
            <w:pPr>
              <w:pStyle w:val="2"/>
              <w:keepNext w:val="0"/>
              <w:keepLines w:val="0"/>
              <w:pageBreakBefore w:val="0"/>
              <w:kinsoku/>
              <w:wordWrap/>
              <w:overflowPunct/>
              <w:topLinePunct w:val="0"/>
              <w:autoSpaceDE/>
              <w:autoSpaceDN/>
              <w:bidi w:val="0"/>
              <w:adjustRightInd/>
              <w:snapToGrid/>
              <w:spacing w:line="240" w:lineRule="atLeast"/>
              <w:ind w:firstLine="0" w:firstLineChars="0"/>
              <w:jc w:val="center"/>
              <w:textAlignment w:val="auto"/>
              <w:rPr>
                <w:rFonts w:hint="eastAsia" w:ascii="仿宋" w:hAnsi="仿宋" w:eastAsia="仿宋"/>
                <w:sz w:val="21"/>
                <w:szCs w:val="21"/>
              </w:rPr>
            </w:pPr>
            <w:r>
              <w:rPr>
                <w:rFonts w:hint="eastAsia" w:ascii="仿宋" w:hAnsi="仿宋" w:eastAsia="仿宋"/>
                <w:sz w:val="21"/>
                <w:szCs w:val="21"/>
              </w:rPr>
              <w:t>依据文件；</w:t>
            </w:r>
          </w:p>
          <w:p>
            <w:pPr>
              <w:pStyle w:val="2"/>
              <w:keepNext w:val="0"/>
              <w:keepLines w:val="0"/>
              <w:pageBreakBefore w:val="0"/>
              <w:kinsoku/>
              <w:wordWrap/>
              <w:overflowPunct/>
              <w:topLinePunct w:val="0"/>
              <w:autoSpaceDE/>
              <w:autoSpaceDN/>
              <w:bidi w:val="0"/>
              <w:adjustRightInd/>
              <w:snapToGrid/>
              <w:spacing w:line="240" w:lineRule="atLeast"/>
              <w:ind w:firstLine="0" w:firstLineChars="0"/>
              <w:jc w:val="center"/>
              <w:textAlignment w:val="auto"/>
              <w:rPr>
                <w:rFonts w:hint="eastAsia" w:ascii="仿宋" w:hAnsi="仿宋" w:eastAsia="仿宋"/>
                <w:sz w:val="21"/>
                <w:szCs w:val="21"/>
              </w:rPr>
            </w:pPr>
            <w:r>
              <w:rPr>
                <w:rFonts w:hint="eastAsia" w:ascii="仿宋" w:hAnsi="仿宋" w:eastAsia="仿宋"/>
                <w:sz w:val="21"/>
                <w:szCs w:val="21"/>
              </w:rPr>
              <w:t>给付条件；</w:t>
            </w:r>
          </w:p>
          <w:p>
            <w:pPr>
              <w:pStyle w:val="2"/>
              <w:keepNext w:val="0"/>
              <w:keepLines w:val="0"/>
              <w:pageBreakBefore w:val="0"/>
              <w:kinsoku/>
              <w:wordWrap/>
              <w:overflowPunct/>
              <w:topLinePunct w:val="0"/>
              <w:autoSpaceDE/>
              <w:autoSpaceDN/>
              <w:bidi w:val="0"/>
              <w:adjustRightInd/>
              <w:snapToGrid/>
              <w:spacing w:line="240" w:lineRule="atLeast"/>
              <w:ind w:firstLine="0" w:firstLineChars="0"/>
              <w:jc w:val="center"/>
              <w:textAlignment w:val="auto"/>
              <w:rPr>
                <w:rFonts w:hint="eastAsia" w:ascii="仿宋" w:hAnsi="仿宋" w:eastAsia="仿宋"/>
                <w:sz w:val="21"/>
                <w:szCs w:val="21"/>
              </w:rPr>
            </w:pPr>
            <w:r>
              <w:rPr>
                <w:rFonts w:hint="eastAsia" w:ascii="仿宋" w:hAnsi="仿宋" w:eastAsia="仿宋"/>
                <w:sz w:val="21"/>
                <w:szCs w:val="21"/>
              </w:rPr>
              <w:t>申请材料；</w:t>
            </w:r>
          </w:p>
          <w:p>
            <w:pPr>
              <w:pStyle w:val="2"/>
              <w:keepNext w:val="0"/>
              <w:keepLines w:val="0"/>
              <w:pageBreakBefore w:val="0"/>
              <w:kinsoku/>
              <w:wordWrap/>
              <w:overflowPunct/>
              <w:topLinePunct w:val="0"/>
              <w:autoSpaceDE/>
              <w:autoSpaceDN/>
              <w:bidi w:val="0"/>
              <w:adjustRightInd/>
              <w:snapToGrid/>
              <w:spacing w:line="240" w:lineRule="atLeast"/>
              <w:ind w:firstLine="0" w:firstLineChars="0"/>
              <w:jc w:val="center"/>
              <w:textAlignment w:val="auto"/>
              <w:rPr>
                <w:rFonts w:hint="eastAsia" w:ascii="仿宋" w:hAnsi="仿宋" w:eastAsia="仿宋"/>
                <w:sz w:val="21"/>
                <w:szCs w:val="21"/>
              </w:rPr>
            </w:pPr>
            <w:r>
              <w:rPr>
                <w:rFonts w:hint="eastAsia" w:ascii="仿宋" w:hAnsi="仿宋" w:eastAsia="仿宋"/>
                <w:sz w:val="21"/>
                <w:szCs w:val="21"/>
              </w:rPr>
              <w:t>责任事项；</w:t>
            </w:r>
          </w:p>
          <w:p>
            <w:pPr>
              <w:pStyle w:val="2"/>
              <w:keepNext w:val="0"/>
              <w:keepLines w:val="0"/>
              <w:pageBreakBefore w:val="0"/>
              <w:kinsoku/>
              <w:wordWrap/>
              <w:overflowPunct/>
              <w:topLinePunct w:val="0"/>
              <w:autoSpaceDE/>
              <w:autoSpaceDN/>
              <w:bidi w:val="0"/>
              <w:adjustRightInd/>
              <w:snapToGrid/>
              <w:spacing w:line="240" w:lineRule="atLeast"/>
              <w:ind w:firstLine="0" w:firstLineChars="0"/>
              <w:jc w:val="center"/>
              <w:textAlignment w:val="auto"/>
              <w:rPr>
                <w:rFonts w:hint="eastAsia" w:ascii="仿宋" w:hAnsi="仿宋" w:eastAsia="仿宋"/>
                <w:sz w:val="21"/>
                <w:szCs w:val="21"/>
              </w:rPr>
            </w:pPr>
            <w:r>
              <w:rPr>
                <w:rFonts w:hint="eastAsia" w:ascii="仿宋" w:hAnsi="仿宋" w:eastAsia="仿宋"/>
                <w:sz w:val="21"/>
                <w:szCs w:val="21"/>
              </w:rPr>
              <w:t>办理期限；</w:t>
            </w:r>
          </w:p>
          <w:p>
            <w:pPr>
              <w:pStyle w:val="2"/>
              <w:keepNext w:val="0"/>
              <w:keepLines w:val="0"/>
              <w:pageBreakBefore w:val="0"/>
              <w:kinsoku/>
              <w:wordWrap/>
              <w:overflowPunct/>
              <w:topLinePunct w:val="0"/>
              <w:autoSpaceDE/>
              <w:autoSpaceDN/>
              <w:bidi w:val="0"/>
              <w:adjustRightInd/>
              <w:snapToGrid/>
              <w:spacing w:line="240" w:lineRule="atLeast"/>
              <w:ind w:firstLine="0" w:firstLineChars="0"/>
              <w:jc w:val="center"/>
              <w:textAlignment w:val="auto"/>
              <w:rPr>
                <w:rFonts w:hint="eastAsia" w:ascii="仿宋" w:hAnsi="仿宋" w:eastAsia="仿宋"/>
                <w:sz w:val="21"/>
                <w:szCs w:val="21"/>
              </w:rPr>
            </w:pPr>
            <w:r>
              <w:rPr>
                <w:rFonts w:hint="eastAsia" w:ascii="仿宋" w:hAnsi="仿宋" w:eastAsia="仿宋"/>
                <w:sz w:val="21"/>
                <w:szCs w:val="21"/>
              </w:rPr>
              <w:t>服务对象；</w:t>
            </w:r>
          </w:p>
          <w:p>
            <w:pPr>
              <w:pStyle w:val="2"/>
              <w:keepNext w:val="0"/>
              <w:keepLines w:val="0"/>
              <w:pageBreakBefore w:val="0"/>
              <w:kinsoku/>
              <w:wordWrap/>
              <w:overflowPunct/>
              <w:topLinePunct w:val="0"/>
              <w:autoSpaceDE/>
              <w:autoSpaceDN/>
              <w:bidi w:val="0"/>
              <w:adjustRightInd/>
              <w:snapToGrid/>
              <w:spacing w:line="240" w:lineRule="atLeast"/>
              <w:ind w:firstLine="0" w:firstLineChars="0"/>
              <w:jc w:val="center"/>
              <w:textAlignment w:val="auto"/>
              <w:rPr>
                <w:rFonts w:hint="eastAsia" w:ascii="仿宋" w:hAnsi="仿宋" w:eastAsia="仿宋"/>
                <w:sz w:val="21"/>
                <w:szCs w:val="21"/>
              </w:rPr>
            </w:pPr>
            <w:r>
              <w:rPr>
                <w:rFonts w:hint="eastAsia" w:ascii="仿宋" w:hAnsi="仿宋" w:eastAsia="仿宋"/>
                <w:sz w:val="21"/>
                <w:szCs w:val="21"/>
              </w:rPr>
              <w:t>办理流程；</w:t>
            </w:r>
          </w:p>
          <w:p>
            <w:pPr>
              <w:pStyle w:val="2"/>
              <w:keepNext w:val="0"/>
              <w:keepLines w:val="0"/>
              <w:pageBreakBefore w:val="0"/>
              <w:kinsoku/>
              <w:wordWrap/>
              <w:overflowPunct/>
              <w:topLinePunct w:val="0"/>
              <w:autoSpaceDE/>
              <w:autoSpaceDN/>
              <w:bidi w:val="0"/>
              <w:adjustRightInd/>
              <w:snapToGrid/>
              <w:spacing w:line="240" w:lineRule="atLeast"/>
              <w:ind w:firstLine="0" w:firstLineChars="0"/>
              <w:jc w:val="center"/>
              <w:textAlignment w:val="auto"/>
              <w:rPr>
                <w:rFonts w:hint="eastAsia" w:ascii="仿宋" w:hAnsi="仿宋" w:eastAsia="仿宋"/>
                <w:sz w:val="21"/>
                <w:szCs w:val="21"/>
              </w:rPr>
            </w:pPr>
            <w:r>
              <w:rPr>
                <w:rFonts w:hint="eastAsia" w:ascii="仿宋" w:hAnsi="仿宋" w:eastAsia="仿宋"/>
                <w:sz w:val="21"/>
                <w:szCs w:val="21"/>
              </w:rPr>
              <w:t>外部流程图；</w:t>
            </w:r>
          </w:p>
          <w:p>
            <w:pPr>
              <w:pStyle w:val="2"/>
              <w:keepNext w:val="0"/>
              <w:keepLines w:val="0"/>
              <w:pageBreakBefore w:val="0"/>
              <w:kinsoku/>
              <w:wordWrap/>
              <w:overflowPunct/>
              <w:topLinePunct w:val="0"/>
              <w:autoSpaceDE/>
              <w:autoSpaceDN/>
              <w:bidi w:val="0"/>
              <w:adjustRightInd/>
              <w:snapToGrid/>
              <w:spacing w:line="240" w:lineRule="atLeast"/>
              <w:ind w:firstLine="0" w:firstLineChars="0"/>
              <w:jc w:val="center"/>
              <w:textAlignment w:val="auto"/>
              <w:rPr>
                <w:rFonts w:hint="eastAsia" w:ascii="仿宋" w:hAnsi="仿宋" w:eastAsia="仿宋"/>
                <w:sz w:val="21"/>
                <w:szCs w:val="21"/>
              </w:rPr>
            </w:pPr>
            <w:r>
              <w:rPr>
                <w:rFonts w:hint="eastAsia" w:ascii="仿宋" w:hAnsi="仿宋" w:eastAsia="仿宋"/>
                <w:sz w:val="21"/>
                <w:szCs w:val="21"/>
              </w:rPr>
              <w:t>办事地址。</w:t>
            </w:r>
          </w:p>
        </w:tc>
        <w:tc>
          <w:tcPr>
            <w:tcW w:w="1079" w:type="pct"/>
            <w:noWrap w:val="0"/>
            <w:vAlign w:val="center"/>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_GB2312" w:hAnsi="宋体" w:eastAsia="仿宋_GB2312"/>
                <w:color w:val="000000"/>
                <w:sz w:val="21"/>
                <w:szCs w:val="21"/>
              </w:rPr>
            </w:pPr>
            <w:r>
              <w:rPr>
                <w:rFonts w:hint="eastAsia" w:ascii="仿宋_GB2312" w:hAnsi="宋体" w:eastAsia="仿宋_GB2312"/>
                <w:color w:val="000000"/>
                <w:sz w:val="21"/>
                <w:szCs w:val="21"/>
              </w:rPr>
              <w:t>《大同市人民政府办公厅文件关于优化审批流程进一步规范城镇住房保障制度的意见》、《廉租住房保障办法》、《公共租赁住房管理办法》、《住房城乡建设部 财政部 国家发改委关于公共租赁住房和廉租住房并轨运行的通知》、关于印发《云冈区人民政府关于试点领域基层政务公开标准目录汇编》的通知。</w:t>
            </w:r>
          </w:p>
        </w:tc>
        <w:tc>
          <w:tcPr>
            <w:tcW w:w="254" w:type="pct"/>
            <w:noWrap w:val="0"/>
            <w:vAlign w:val="center"/>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_GB2312" w:hAnsi="宋体" w:eastAsia="仿宋_GB2312"/>
                <w:color w:val="000000"/>
                <w:sz w:val="21"/>
                <w:szCs w:val="21"/>
              </w:rPr>
            </w:pPr>
            <w:r>
              <w:rPr>
                <w:rFonts w:hint="eastAsia" w:ascii="仿宋_GB2312" w:hAnsi="宋体" w:eastAsia="仿宋_GB2312"/>
                <w:color w:val="000000"/>
                <w:sz w:val="21"/>
                <w:szCs w:val="21"/>
              </w:rPr>
              <w:t>信息获取（形成、变更）20个工作日内</w:t>
            </w:r>
          </w:p>
        </w:tc>
        <w:tc>
          <w:tcPr>
            <w:tcW w:w="263" w:type="pct"/>
            <w:noWrap w:val="0"/>
            <w:vAlign w:val="center"/>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_GB2312" w:hAnsi="宋体" w:eastAsia="仿宋_GB2312"/>
                <w:color w:val="000000"/>
                <w:sz w:val="21"/>
                <w:szCs w:val="21"/>
              </w:rPr>
            </w:pPr>
            <w:r>
              <w:rPr>
                <w:rFonts w:hint="eastAsia" w:ascii="仿宋_GB2312" w:hAnsi="宋体" w:eastAsia="仿宋_GB2312"/>
                <w:color w:val="000000"/>
                <w:sz w:val="21"/>
                <w:szCs w:val="21"/>
              </w:rPr>
              <w:t>人民政府、云冈区住房建设和城乡管理局</w:t>
            </w:r>
          </w:p>
        </w:tc>
        <w:tc>
          <w:tcPr>
            <w:tcW w:w="245" w:type="pct"/>
            <w:noWrap w:val="0"/>
            <w:vAlign w:val="center"/>
          </w:tcPr>
          <w:p>
            <w:pPr>
              <w:keepNext w:val="0"/>
              <w:keepLines w:val="0"/>
              <w:pageBreakBefore w:val="0"/>
              <w:kinsoku/>
              <w:wordWrap/>
              <w:overflowPunct/>
              <w:topLinePunct w:val="0"/>
              <w:autoSpaceDE/>
              <w:autoSpaceDN/>
              <w:bidi w:val="0"/>
              <w:adjustRightInd/>
              <w:snapToGrid/>
              <w:spacing w:line="240" w:lineRule="atLeast"/>
              <w:textAlignment w:val="auto"/>
              <w:rPr>
                <w:rFonts w:hint="default" w:ascii="仿宋_GB2312" w:hAnsi="宋体" w:eastAsia="仿宋_GB2312"/>
                <w:color w:val="000000"/>
                <w:sz w:val="21"/>
                <w:szCs w:val="21"/>
                <w:lang w:val="en-US" w:eastAsia="zh-CN"/>
              </w:rPr>
            </w:pPr>
            <w:r>
              <w:rPr>
                <w:rFonts w:hint="eastAsia" w:ascii="仿宋_GB2312" w:hAnsi="宋体" w:eastAsia="仿宋_GB2312"/>
                <w:color w:val="000000"/>
                <w:sz w:val="21"/>
                <w:szCs w:val="21"/>
                <w:lang w:val="en-US" w:eastAsia="zh-CN"/>
              </w:rPr>
              <w:t>廉租办</w:t>
            </w:r>
          </w:p>
        </w:tc>
        <w:tc>
          <w:tcPr>
            <w:tcW w:w="292" w:type="pct"/>
            <w:noWrap w:val="0"/>
            <w:vAlign w:val="center"/>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_GB2312" w:hAnsi="宋体" w:eastAsia="仿宋_GB2312"/>
                <w:color w:val="000000"/>
                <w:sz w:val="21"/>
                <w:szCs w:val="21"/>
              </w:rPr>
            </w:pPr>
            <w:r>
              <w:rPr>
                <w:rFonts w:hint="eastAsia" w:ascii="仿宋_GB2312" w:hAnsi="宋体" w:eastAsia="仿宋_GB2312"/>
                <w:color w:val="000000"/>
                <w:sz w:val="21"/>
                <w:szCs w:val="21"/>
              </w:rPr>
              <w:t xml:space="preserve">■政府网站           </w:t>
            </w:r>
          </w:p>
        </w:tc>
        <w:tc>
          <w:tcPr>
            <w:tcW w:w="171" w:type="pct"/>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_GB2312" w:hAnsi="宋体" w:eastAsia="仿宋_GB2312"/>
                <w:color w:val="000000"/>
                <w:sz w:val="21"/>
                <w:szCs w:val="21"/>
              </w:rPr>
            </w:pPr>
            <w:r>
              <w:rPr>
                <w:rFonts w:hint="eastAsia" w:ascii="仿宋_GB2312" w:hAnsi="宋体" w:eastAsia="仿宋_GB2312"/>
                <w:color w:val="000000"/>
                <w:sz w:val="21"/>
                <w:szCs w:val="21"/>
              </w:rPr>
              <w:t>√</w:t>
            </w:r>
          </w:p>
        </w:tc>
        <w:tc>
          <w:tcPr>
            <w:tcW w:w="269" w:type="pct"/>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_GB2312" w:hAnsi="宋体" w:eastAsia="仿宋_GB2312"/>
                <w:color w:val="000000"/>
                <w:sz w:val="21"/>
                <w:szCs w:val="21"/>
              </w:rPr>
            </w:pPr>
            <w:r>
              <w:rPr>
                <w:rFonts w:hint="eastAsia" w:ascii="仿宋_GB2312" w:hAnsi="宋体" w:eastAsia="仿宋_GB2312"/>
                <w:color w:val="000000"/>
                <w:sz w:val="21"/>
                <w:szCs w:val="21"/>
              </w:rPr>
              <w:t>　</w:t>
            </w:r>
          </w:p>
        </w:tc>
        <w:tc>
          <w:tcPr>
            <w:tcW w:w="149" w:type="pct"/>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_GB2312" w:hAnsi="宋体" w:eastAsia="仿宋_GB2312"/>
                <w:color w:val="000000"/>
                <w:sz w:val="21"/>
                <w:szCs w:val="21"/>
              </w:rPr>
            </w:pPr>
            <w:r>
              <w:rPr>
                <w:rFonts w:hint="eastAsia" w:ascii="仿宋_GB2312" w:hAnsi="宋体" w:eastAsia="仿宋_GB2312"/>
                <w:color w:val="000000"/>
                <w:sz w:val="21"/>
                <w:szCs w:val="21"/>
              </w:rPr>
              <w:t>√</w:t>
            </w:r>
          </w:p>
        </w:tc>
        <w:tc>
          <w:tcPr>
            <w:tcW w:w="280" w:type="pct"/>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_GB2312" w:hAnsi="宋体" w:eastAsia="仿宋_GB2312"/>
                <w:color w:val="000000"/>
                <w:sz w:val="21"/>
                <w:szCs w:val="21"/>
              </w:rPr>
            </w:pPr>
            <w:r>
              <w:rPr>
                <w:rFonts w:hint="eastAsia" w:ascii="仿宋_GB2312" w:hAnsi="宋体" w:eastAsia="仿宋_GB2312"/>
                <w:color w:val="000000"/>
                <w:sz w:val="21"/>
                <w:szCs w:val="21"/>
              </w:rPr>
              <w:t>　</w:t>
            </w:r>
          </w:p>
        </w:tc>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_GB2312" w:hAnsi="宋体" w:eastAsia="仿宋_GB2312"/>
                <w:color w:val="000000"/>
                <w:sz w:val="21"/>
                <w:szCs w:val="21"/>
              </w:rPr>
            </w:pPr>
            <w:r>
              <w:rPr>
                <w:rFonts w:hint="eastAsia" w:ascii="仿宋_GB2312" w:hAnsi="宋体" w:eastAsia="仿宋_GB2312"/>
                <w:color w:val="000000"/>
                <w:sz w:val="21"/>
                <w:szCs w:val="21"/>
              </w:rPr>
              <w:t>√</w:t>
            </w:r>
          </w:p>
        </w:tc>
        <w:tc>
          <w:tcPr>
            <w:tcW w:w="215" w:type="pct"/>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_GB2312" w:hAnsi="宋体" w:eastAsia="仿宋_GB2312"/>
                <w:color w:val="000000"/>
                <w:sz w:val="21"/>
                <w:szCs w:val="21"/>
              </w:rPr>
            </w:pPr>
            <w:r>
              <w:rPr>
                <w:rFonts w:hint="eastAsia" w:ascii="仿宋_GB2312" w:hAnsi="宋体" w:eastAsia="仿宋_GB2312"/>
                <w:color w:val="000000"/>
                <w:sz w:val="21"/>
                <w:szCs w:val="21"/>
              </w:rPr>
              <w:t>√</w:t>
            </w:r>
          </w:p>
        </w:tc>
        <w:tc>
          <w:tcPr>
            <w:tcW w:w="368" w:type="pct"/>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default" w:ascii="仿宋_GB2312" w:hAnsi="宋体" w:eastAsia="仿宋_GB2312"/>
                <w:color w:val="000000"/>
                <w:sz w:val="21"/>
                <w:szCs w:val="21"/>
                <w:lang w:val="en-US" w:eastAsia="zh-CN"/>
              </w:rPr>
            </w:pPr>
            <w:r>
              <w:rPr>
                <w:rFonts w:hint="eastAsia" w:ascii="仿宋_GB2312" w:hAnsi="宋体" w:eastAsia="仿宋_GB2312"/>
                <w:color w:val="000000"/>
                <w:sz w:val="21"/>
                <w:szCs w:val="21"/>
                <w:lang w:val="en-US" w:eastAsia="zh-CN"/>
              </w:rPr>
              <w:t>0352-5022113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143" w:type="pct"/>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_GB2312" w:hAnsi="宋体" w:eastAsia="仿宋_GB2312"/>
                <w:color w:val="000000"/>
                <w:sz w:val="21"/>
                <w:szCs w:val="21"/>
              </w:rPr>
            </w:pPr>
            <w:r>
              <w:rPr>
                <w:rFonts w:hint="eastAsia" w:ascii="仿宋_GB2312" w:hAnsi="宋体" w:eastAsia="仿宋_GB2312"/>
                <w:color w:val="000000"/>
                <w:sz w:val="21"/>
                <w:szCs w:val="21"/>
              </w:rPr>
              <w:t>2</w:t>
            </w:r>
          </w:p>
        </w:tc>
        <w:tc>
          <w:tcPr>
            <w:tcW w:w="252" w:type="pct"/>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_GB2312" w:hAnsi="宋体" w:eastAsia="仿宋_GB2312"/>
                <w:color w:val="000000"/>
                <w:sz w:val="21"/>
                <w:szCs w:val="21"/>
              </w:rPr>
            </w:pPr>
            <w:r>
              <w:rPr>
                <w:rFonts w:hint="eastAsia" w:ascii="仿宋_GB2312" w:hAnsi="宋体" w:eastAsia="仿宋_GB2312"/>
                <w:color w:val="000000"/>
                <w:sz w:val="21"/>
                <w:szCs w:val="21"/>
              </w:rPr>
              <w:t>保障性住房管理</w:t>
            </w:r>
          </w:p>
        </w:tc>
        <w:tc>
          <w:tcPr>
            <w:tcW w:w="361" w:type="pct"/>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_GB2312" w:hAnsi="宋体" w:eastAsia="仿宋_GB2312"/>
                <w:color w:val="000000"/>
                <w:sz w:val="21"/>
                <w:szCs w:val="21"/>
              </w:rPr>
            </w:pPr>
            <w:r>
              <w:rPr>
                <w:rFonts w:hint="eastAsia" w:ascii="仿宋_GB2312" w:hAnsi="宋体" w:eastAsia="仿宋_GB2312"/>
                <w:color w:val="000000"/>
                <w:sz w:val="21"/>
                <w:szCs w:val="21"/>
              </w:rPr>
              <w:t>城镇低收入住房保障家庭实物配租</w:t>
            </w:r>
          </w:p>
        </w:tc>
        <w:tc>
          <w:tcPr>
            <w:tcW w:w="513" w:type="pct"/>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olor w:val="000000"/>
                <w:sz w:val="21"/>
                <w:szCs w:val="21"/>
              </w:rPr>
            </w:pPr>
            <w:r>
              <w:rPr>
                <w:rFonts w:hint="eastAsia" w:ascii="仿宋" w:hAnsi="仿宋" w:eastAsia="仿宋"/>
                <w:color w:val="000000"/>
                <w:sz w:val="21"/>
                <w:szCs w:val="21"/>
              </w:rPr>
              <w:t>事项名称；</w:t>
            </w:r>
          </w:p>
          <w:p>
            <w:pPr>
              <w:pStyle w:val="2"/>
              <w:keepNext w:val="0"/>
              <w:keepLines w:val="0"/>
              <w:pageBreakBefore w:val="0"/>
              <w:kinsoku/>
              <w:wordWrap/>
              <w:overflowPunct/>
              <w:topLinePunct w:val="0"/>
              <w:autoSpaceDE/>
              <w:autoSpaceDN/>
              <w:bidi w:val="0"/>
              <w:adjustRightInd/>
              <w:snapToGrid/>
              <w:spacing w:line="240" w:lineRule="atLeast"/>
              <w:ind w:firstLine="0" w:firstLineChars="0"/>
              <w:jc w:val="center"/>
              <w:textAlignment w:val="auto"/>
              <w:rPr>
                <w:rFonts w:hint="eastAsia" w:ascii="仿宋" w:hAnsi="仿宋" w:eastAsia="仿宋"/>
                <w:sz w:val="21"/>
                <w:szCs w:val="21"/>
              </w:rPr>
            </w:pPr>
            <w:r>
              <w:rPr>
                <w:rFonts w:hint="eastAsia" w:ascii="仿宋" w:hAnsi="仿宋" w:eastAsia="仿宋"/>
                <w:sz w:val="21"/>
                <w:szCs w:val="21"/>
              </w:rPr>
              <w:t>依据文件；</w:t>
            </w:r>
          </w:p>
          <w:p>
            <w:pPr>
              <w:pStyle w:val="2"/>
              <w:keepNext w:val="0"/>
              <w:keepLines w:val="0"/>
              <w:pageBreakBefore w:val="0"/>
              <w:kinsoku/>
              <w:wordWrap/>
              <w:overflowPunct/>
              <w:topLinePunct w:val="0"/>
              <w:autoSpaceDE/>
              <w:autoSpaceDN/>
              <w:bidi w:val="0"/>
              <w:adjustRightInd/>
              <w:snapToGrid/>
              <w:spacing w:line="240" w:lineRule="atLeast"/>
              <w:ind w:firstLine="0" w:firstLineChars="0"/>
              <w:jc w:val="center"/>
              <w:textAlignment w:val="auto"/>
              <w:rPr>
                <w:rFonts w:hint="eastAsia" w:ascii="仿宋" w:hAnsi="仿宋" w:eastAsia="仿宋"/>
                <w:sz w:val="21"/>
                <w:szCs w:val="21"/>
              </w:rPr>
            </w:pPr>
            <w:r>
              <w:rPr>
                <w:rFonts w:hint="eastAsia" w:ascii="仿宋" w:hAnsi="仿宋" w:eastAsia="仿宋"/>
                <w:sz w:val="21"/>
                <w:szCs w:val="21"/>
              </w:rPr>
              <w:t>给付条件；</w:t>
            </w:r>
          </w:p>
          <w:p>
            <w:pPr>
              <w:pStyle w:val="2"/>
              <w:keepNext w:val="0"/>
              <w:keepLines w:val="0"/>
              <w:pageBreakBefore w:val="0"/>
              <w:kinsoku/>
              <w:wordWrap/>
              <w:overflowPunct/>
              <w:topLinePunct w:val="0"/>
              <w:autoSpaceDE/>
              <w:autoSpaceDN/>
              <w:bidi w:val="0"/>
              <w:adjustRightInd/>
              <w:snapToGrid/>
              <w:spacing w:line="240" w:lineRule="atLeast"/>
              <w:ind w:firstLine="0" w:firstLineChars="0"/>
              <w:jc w:val="center"/>
              <w:textAlignment w:val="auto"/>
              <w:rPr>
                <w:rFonts w:hint="eastAsia" w:ascii="仿宋" w:hAnsi="仿宋" w:eastAsia="仿宋"/>
                <w:sz w:val="21"/>
                <w:szCs w:val="21"/>
              </w:rPr>
            </w:pPr>
            <w:r>
              <w:rPr>
                <w:rFonts w:hint="eastAsia" w:ascii="仿宋" w:hAnsi="仿宋" w:eastAsia="仿宋"/>
                <w:sz w:val="21"/>
                <w:szCs w:val="21"/>
              </w:rPr>
              <w:t>申请材料；</w:t>
            </w:r>
          </w:p>
          <w:p>
            <w:pPr>
              <w:pStyle w:val="2"/>
              <w:keepNext w:val="0"/>
              <w:keepLines w:val="0"/>
              <w:pageBreakBefore w:val="0"/>
              <w:kinsoku/>
              <w:wordWrap/>
              <w:overflowPunct/>
              <w:topLinePunct w:val="0"/>
              <w:autoSpaceDE/>
              <w:autoSpaceDN/>
              <w:bidi w:val="0"/>
              <w:adjustRightInd/>
              <w:snapToGrid/>
              <w:spacing w:line="240" w:lineRule="atLeast"/>
              <w:ind w:firstLine="0" w:firstLineChars="0"/>
              <w:jc w:val="center"/>
              <w:textAlignment w:val="auto"/>
              <w:rPr>
                <w:rFonts w:hint="eastAsia" w:ascii="仿宋" w:hAnsi="仿宋" w:eastAsia="仿宋"/>
                <w:sz w:val="21"/>
                <w:szCs w:val="21"/>
              </w:rPr>
            </w:pPr>
            <w:r>
              <w:rPr>
                <w:rFonts w:hint="eastAsia" w:ascii="仿宋" w:hAnsi="仿宋" w:eastAsia="仿宋"/>
                <w:sz w:val="21"/>
                <w:szCs w:val="21"/>
              </w:rPr>
              <w:t>责任事项；</w:t>
            </w:r>
          </w:p>
          <w:p>
            <w:pPr>
              <w:pStyle w:val="2"/>
              <w:keepNext w:val="0"/>
              <w:keepLines w:val="0"/>
              <w:pageBreakBefore w:val="0"/>
              <w:kinsoku/>
              <w:wordWrap/>
              <w:overflowPunct/>
              <w:topLinePunct w:val="0"/>
              <w:autoSpaceDE/>
              <w:autoSpaceDN/>
              <w:bidi w:val="0"/>
              <w:adjustRightInd/>
              <w:snapToGrid/>
              <w:spacing w:line="240" w:lineRule="atLeast"/>
              <w:ind w:firstLine="0" w:firstLineChars="0"/>
              <w:jc w:val="center"/>
              <w:textAlignment w:val="auto"/>
              <w:rPr>
                <w:rFonts w:hint="eastAsia" w:ascii="仿宋" w:hAnsi="仿宋" w:eastAsia="仿宋"/>
                <w:sz w:val="21"/>
                <w:szCs w:val="21"/>
              </w:rPr>
            </w:pPr>
            <w:r>
              <w:rPr>
                <w:rFonts w:hint="eastAsia" w:ascii="仿宋" w:hAnsi="仿宋" w:eastAsia="仿宋"/>
                <w:sz w:val="21"/>
                <w:szCs w:val="21"/>
              </w:rPr>
              <w:t>办理期限；</w:t>
            </w:r>
          </w:p>
          <w:p>
            <w:pPr>
              <w:pStyle w:val="2"/>
              <w:keepNext w:val="0"/>
              <w:keepLines w:val="0"/>
              <w:pageBreakBefore w:val="0"/>
              <w:kinsoku/>
              <w:wordWrap/>
              <w:overflowPunct/>
              <w:topLinePunct w:val="0"/>
              <w:autoSpaceDE/>
              <w:autoSpaceDN/>
              <w:bidi w:val="0"/>
              <w:adjustRightInd/>
              <w:snapToGrid/>
              <w:spacing w:line="240" w:lineRule="atLeast"/>
              <w:ind w:firstLine="0" w:firstLineChars="0"/>
              <w:jc w:val="center"/>
              <w:textAlignment w:val="auto"/>
              <w:rPr>
                <w:rFonts w:hint="eastAsia" w:ascii="仿宋" w:hAnsi="仿宋" w:eastAsia="仿宋"/>
                <w:sz w:val="21"/>
                <w:szCs w:val="21"/>
              </w:rPr>
            </w:pPr>
            <w:r>
              <w:rPr>
                <w:rFonts w:hint="eastAsia" w:ascii="仿宋" w:hAnsi="仿宋" w:eastAsia="仿宋"/>
                <w:sz w:val="21"/>
                <w:szCs w:val="21"/>
              </w:rPr>
              <w:t>服务对象；</w:t>
            </w:r>
          </w:p>
          <w:p>
            <w:pPr>
              <w:pStyle w:val="2"/>
              <w:keepNext w:val="0"/>
              <w:keepLines w:val="0"/>
              <w:pageBreakBefore w:val="0"/>
              <w:kinsoku/>
              <w:wordWrap/>
              <w:overflowPunct/>
              <w:topLinePunct w:val="0"/>
              <w:autoSpaceDE/>
              <w:autoSpaceDN/>
              <w:bidi w:val="0"/>
              <w:adjustRightInd/>
              <w:snapToGrid/>
              <w:spacing w:line="240" w:lineRule="atLeast"/>
              <w:ind w:firstLine="0" w:firstLineChars="0"/>
              <w:jc w:val="center"/>
              <w:textAlignment w:val="auto"/>
              <w:rPr>
                <w:rFonts w:hint="eastAsia" w:ascii="仿宋" w:hAnsi="仿宋" w:eastAsia="仿宋"/>
                <w:sz w:val="21"/>
                <w:szCs w:val="21"/>
              </w:rPr>
            </w:pPr>
            <w:r>
              <w:rPr>
                <w:rFonts w:hint="eastAsia" w:ascii="仿宋" w:hAnsi="仿宋" w:eastAsia="仿宋"/>
                <w:sz w:val="21"/>
                <w:szCs w:val="21"/>
              </w:rPr>
              <w:t>办理流程；</w:t>
            </w:r>
          </w:p>
          <w:p>
            <w:pPr>
              <w:pStyle w:val="2"/>
              <w:keepNext w:val="0"/>
              <w:keepLines w:val="0"/>
              <w:pageBreakBefore w:val="0"/>
              <w:kinsoku/>
              <w:wordWrap/>
              <w:overflowPunct/>
              <w:topLinePunct w:val="0"/>
              <w:autoSpaceDE/>
              <w:autoSpaceDN/>
              <w:bidi w:val="0"/>
              <w:adjustRightInd/>
              <w:snapToGrid/>
              <w:spacing w:line="240" w:lineRule="atLeast"/>
              <w:ind w:firstLine="0" w:firstLineChars="0"/>
              <w:jc w:val="center"/>
              <w:textAlignment w:val="auto"/>
              <w:rPr>
                <w:rFonts w:hint="eastAsia" w:ascii="仿宋" w:hAnsi="仿宋" w:eastAsia="仿宋"/>
                <w:sz w:val="21"/>
                <w:szCs w:val="21"/>
              </w:rPr>
            </w:pPr>
            <w:r>
              <w:rPr>
                <w:rFonts w:hint="eastAsia" w:ascii="仿宋" w:hAnsi="仿宋" w:eastAsia="仿宋"/>
                <w:sz w:val="21"/>
                <w:szCs w:val="21"/>
              </w:rPr>
              <w:t>外部流程图；</w:t>
            </w:r>
          </w:p>
          <w:p>
            <w:pPr>
              <w:pStyle w:val="2"/>
              <w:keepNext w:val="0"/>
              <w:keepLines w:val="0"/>
              <w:pageBreakBefore w:val="0"/>
              <w:kinsoku/>
              <w:wordWrap/>
              <w:overflowPunct/>
              <w:topLinePunct w:val="0"/>
              <w:autoSpaceDE/>
              <w:autoSpaceDN/>
              <w:bidi w:val="0"/>
              <w:adjustRightInd/>
              <w:snapToGrid/>
              <w:spacing w:line="240" w:lineRule="atLeast"/>
              <w:ind w:firstLine="0" w:firstLineChars="0"/>
              <w:jc w:val="center"/>
              <w:textAlignment w:val="auto"/>
              <w:rPr>
                <w:rFonts w:hint="eastAsia" w:ascii="仿宋" w:hAnsi="仿宋" w:eastAsia="仿宋"/>
                <w:sz w:val="21"/>
                <w:szCs w:val="21"/>
              </w:rPr>
            </w:pPr>
            <w:r>
              <w:rPr>
                <w:rFonts w:hint="eastAsia" w:ascii="仿宋" w:hAnsi="仿宋" w:eastAsia="仿宋"/>
                <w:sz w:val="21"/>
                <w:szCs w:val="21"/>
              </w:rPr>
              <w:t>办事地址。</w:t>
            </w:r>
          </w:p>
        </w:tc>
        <w:tc>
          <w:tcPr>
            <w:tcW w:w="1079" w:type="pct"/>
            <w:noWrap w:val="0"/>
            <w:vAlign w:val="center"/>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_GB2312" w:hAnsi="宋体" w:eastAsia="仿宋_GB2312"/>
                <w:color w:val="000000"/>
                <w:sz w:val="21"/>
                <w:szCs w:val="21"/>
              </w:rPr>
            </w:pPr>
            <w:r>
              <w:rPr>
                <w:rFonts w:hint="eastAsia" w:ascii="仿宋_GB2312" w:hAnsi="宋体" w:eastAsia="仿宋_GB2312"/>
                <w:color w:val="000000"/>
                <w:sz w:val="21"/>
                <w:szCs w:val="21"/>
              </w:rPr>
              <w:t>《大同市人民政府办公厅文件关于优化审批流程进一步规范城镇住房保障制度的意见》、《廉租住房保障办法》、《公共租赁住房管理办法》、《住房城乡建设部 财政部 国家发改委关于公共租赁住房和廉租住房并轨运行的通知》、关于印发《云冈区人民政府关于试点领域基层政务公开标准目录汇编》的通知。</w:t>
            </w:r>
          </w:p>
        </w:tc>
        <w:tc>
          <w:tcPr>
            <w:tcW w:w="254" w:type="pct"/>
            <w:noWrap w:val="0"/>
            <w:vAlign w:val="center"/>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_GB2312" w:hAnsi="宋体" w:eastAsia="仿宋_GB2312"/>
                <w:color w:val="000000"/>
                <w:sz w:val="21"/>
                <w:szCs w:val="21"/>
              </w:rPr>
            </w:pPr>
            <w:r>
              <w:rPr>
                <w:rFonts w:hint="eastAsia" w:ascii="仿宋_GB2312" w:hAnsi="宋体" w:eastAsia="仿宋_GB2312"/>
                <w:color w:val="000000"/>
                <w:sz w:val="21"/>
                <w:szCs w:val="21"/>
              </w:rPr>
              <w:t>信息获取（形成、变更）20个工作日内</w:t>
            </w:r>
          </w:p>
        </w:tc>
        <w:tc>
          <w:tcPr>
            <w:tcW w:w="263" w:type="pct"/>
            <w:noWrap w:val="0"/>
            <w:vAlign w:val="center"/>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_GB2312" w:hAnsi="宋体" w:eastAsia="仿宋_GB2312"/>
                <w:color w:val="000000"/>
                <w:sz w:val="21"/>
                <w:szCs w:val="21"/>
              </w:rPr>
            </w:pPr>
            <w:r>
              <w:rPr>
                <w:rFonts w:hint="eastAsia" w:ascii="仿宋_GB2312" w:hAnsi="宋体" w:eastAsia="仿宋_GB2312"/>
                <w:color w:val="000000"/>
                <w:sz w:val="21"/>
                <w:szCs w:val="21"/>
              </w:rPr>
              <w:t>人民政府、云冈区住房建设和城乡管理局</w:t>
            </w:r>
          </w:p>
        </w:tc>
        <w:tc>
          <w:tcPr>
            <w:tcW w:w="245" w:type="pct"/>
            <w:noWrap w:val="0"/>
            <w:vAlign w:val="center"/>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_GB2312" w:hAnsi="宋体" w:eastAsia="仿宋_GB2312"/>
                <w:color w:val="000000"/>
                <w:sz w:val="21"/>
                <w:szCs w:val="21"/>
              </w:rPr>
            </w:pPr>
            <w:r>
              <w:rPr>
                <w:rFonts w:hint="eastAsia" w:ascii="仿宋_GB2312" w:hAnsi="宋体" w:eastAsia="仿宋_GB2312"/>
                <w:color w:val="000000"/>
                <w:sz w:val="21"/>
                <w:szCs w:val="21"/>
                <w:lang w:val="en-US" w:eastAsia="zh-CN"/>
              </w:rPr>
              <w:t>廉租办</w:t>
            </w:r>
          </w:p>
        </w:tc>
        <w:tc>
          <w:tcPr>
            <w:tcW w:w="292" w:type="pct"/>
            <w:noWrap w:val="0"/>
            <w:vAlign w:val="center"/>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_GB2312" w:hAnsi="宋体" w:eastAsia="仿宋_GB2312"/>
                <w:color w:val="000000"/>
                <w:sz w:val="21"/>
                <w:szCs w:val="21"/>
              </w:rPr>
            </w:pPr>
            <w:r>
              <w:rPr>
                <w:rFonts w:hint="eastAsia" w:ascii="仿宋_GB2312" w:hAnsi="宋体" w:eastAsia="仿宋_GB2312"/>
                <w:color w:val="000000"/>
                <w:sz w:val="21"/>
                <w:szCs w:val="21"/>
              </w:rPr>
              <w:t xml:space="preserve">■政府网站           </w:t>
            </w:r>
          </w:p>
        </w:tc>
        <w:tc>
          <w:tcPr>
            <w:tcW w:w="171" w:type="pct"/>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_GB2312" w:hAnsi="宋体" w:eastAsia="仿宋_GB2312"/>
                <w:color w:val="000000"/>
                <w:sz w:val="21"/>
                <w:szCs w:val="21"/>
              </w:rPr>
            </w:pPr>
            <w:r>
              <w:rPr>
                <w:rFonts w:hint="eastAsia" w:ascii="仿宋_GB2312" w:hAnsi="宋体" w:eastAsia="仿宋_GB2312"/>
                <w:color w:val="000000"/>
                <w:sz w:val="21"/>
                <w:szCs w:val="21"/>
              </w:rPr>
              <w:t>√</w:t>
            </w:r>
          </w:p>
        </w:tc>
        <w:tc>
          <w:tcPr>
            <w:tcW w:w="269" w:type="pct"/>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_GB2312" w:hAnsi="宋体" w:eastAsia="仿宋_GB2312"/>
                <w:color w:val="000000"/>
                <w:sz w:val="21"/>
                <w:szCs w:val="21"/>
              </w:rPr>
            </w:pPr>
            <w:r>
              <w:rPr>
                <w:rFonts w:hint="eastAsia" w:ascii="仿宋_GB2312" w:hAnsi="宋体" w:eastAsia="仿宋_GB2312"/>
                <w:color w:val="000000"/>
                <w:sz w:val="21"/>
                <w:szCs w:val="21"/>
              </w:rPr>
              <w:t>　</w:t>
            </w:r>
          </w:p>
        </w:tc>
        <w:tc>
          <w:tcPr>
            <w:tcW w:w="149" w:type="pct"/>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_GB2312" w:hAnsi="宋体" w:eastAsia="仿宋_GB2312"/>
                <w:color w:val="000000"/>
                <w:sz w:val="21"/>
                <w:szCs w:val="21"/>
              </w:rPr>
            </w:pPr>
            <w:r>
              <w:rPr>
                <w:rFonts w:hint="eastAsia" w:ascii="仿宋_GB2312" w:hAnsi="宋体" w:eastAsia="仿宋_GB2312"/>
                <w:color w:val="000000"/>
                <w:sz w:val="21"/>
                <w:szCs w:val="21"/>
              </w:rPr>
              <w:t>√</w:t>
            </w:r>
          </w:p>
        </w:tc>
        <w:tc>
          <w:tcPr>
            <w:tcW w:w="280" w:type="pct"/>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_GB2312" w:hAnsi="宋体" w:eastAsia="仿宋_GB2312"/>
                <w:color w:val="000000"/>
                <w:sz w:val="21"/>
                <w:szCs w:val="21"/>
              </w:rPr>
            </w:pPr>
            <w:r>
              <w:rPr>
                <w:rFonts w:hint="eastAsia" w:ascii="仿宋_GB2312" w:hAnsi="宋体" w:eastAsia="仿宋_GB2312"/>
                <w:color w:val="000000"/>
                <w:sz w:val="21"/>
                <w:szCs w:val="21"/>
              </w:rPr>
              <w:t>　</w:t>
            </w:r>
          </w:p>
        </w:tc>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_GB2312" w:hAnsi="宋体" w:eastAsia="仿宋_GB2312"/>
                <w:color w:val="000000"/>
                <w:sz w:val="21"/>
                <w:szCs w:val="21"/>
              </w:rPr>
            </w:pPr>
            <w:r>
              <w:rPr>
                <w:rFonts w:hint="eastAsia" w:ascii="仿宋_GB2312" w:hAnsi="宋体" w:eastAsia="仿宋_GB2312"/>
                <w:color w:val="000000"/>
                <w:sz w:val="21"/>
                <w:szCs w:val="21"/>
              </w:rPr>
              <w:t>√</w:t>
            </w:r>
          </w:p>
        </w:tc>
        <w:tc>
          <w:tcPr>
            <w:tcW w:w="215" w:type="pct"/>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_GB2312" w:hAnsi="宋体" w:eastAsia="仿宋_GB2312"/>
                <w:color w:val="000000"/>
                <w:sz w:val="21"/>
                <w:szCs w:val="21"/>
              </w:rPr>
            </w:pPr>
            <w:r>
              <w:rPr>
                <w:rFonts w:hint="eastAsia" w:ascii="仿宋_GB2312" w:hAnsi="宋体" w:eastAsia="仿宋_GB2312"/>
                <w:color w:val="000000"/>
                <w:sz w:val="21"/>
                <w:szCs w:val="21"/>
              </w:rPr>
              <w:t>√</w:t>
            </w:r>
          </w:p>
        </w:tc>
        <w:tc>
          <w:tcPr>
            <w:tcW w:w="368" w:type="pct"/>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_GB2312" w:hAnsi="宋体" w:eastAsia="仿宋_GB2312"/>
                <w:color w:val="000000"/>
                <w:sz w:val="21"/>
                <w:szCs w:val="21"/>
              </w:rPr>
            </w:pPr>
            <w:r>
              <w:rPr>
                <w:rFonts w:hint="eastAsia" w:ascii="仿宋_GB2312" w:hAnsi="宋体" w:eastAsia="仿宋_GB2312"/>
                <w:color w:val="000000"/>
                <w:sz w:val="21"/>
                <w:szCs w:val="21"/>
                <w:lang w:val="en-US" w:eastAsia="zh-CN"/>
              </w:rPr>
              <w:t>0352-5022113</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0A09D91"/>
    <w:multiLevelType w:val="multilevel"/>
    <w:tmpl w:val="90A09D91"/>
    <w:lvl w:ilvl="0" w:tentative="0">
      <w:start w:val="1"/>
      <w:numFmt w:val="decimal"/>
      <w:pStyle w:val="3"/>
      <w:lvlText w:val="%1."/>
      <w:lvlJc w:val="left"/>
      <w:pPr>
        <w:ind w:left="432" w:hanging="432"/>
      </w:pPr>
      <w:rPr>
        <w:rFonts w:hint="default"/>
      </w:rPr>
    </w:lvl>
    <w:lvl w:ilvl="1" w:tentative="0">
      <w:start w:val="1"/>
      <w:numFmt w:val="decimal"/>
      <w:pStyle w:val="4"/>
      <w:isLgl/>
      <w:lvlText w:val="%1.%2."/>
      <w:lvlJc w:val="left"/>
      <w:pPr>
        <w:ind w:left="113" w:leftChars="0" w:hanging="113" w:firstLineChars="0"/>
      </w:pPr>
      <w:rPr>
        <w:rFonts w:hint="default" w:ascii="宋体" w:hAnsi="宋体" w:eastAsia="宋体" w:cs="宋体"/>
      </w:rPr>
    </w:lvl>
    <w:lvl w:ilvl="2" w:tentative="0">
      <w:start w:val="1"/>
      <w:numFmt w:val="decimal"/>
      <w:pStyle w:val="5"/>
      <w:lvlText w:val="%1.%2.%3."/>
      <w:lvlJc w:val="left"/>
      <w:pPr>
        <w:ind w:left="720" w:hanging="720"/>
      </w:pPr>
      <w:rPr>
        <w:rFonts w:hint="default"/>
      </w:rPr>
    </w:lvl>
    <w:lvl w:ilvl="3" w:tentative="0">
      <w:start w:val="1"/>
      <w:numFmt w:val="decimal"/>
      <w:pStyle w:val="6"/>
      <w:lvlText w:val="%1.%2.%3.%4."/>
      <w:lvlJc w:val="left"/>
      <w:pPr>
        <w:ind w:left="864" w:hanging="864"/>
      </w:pPr>
      <w:rPr>
        <w:rFonts w:hint="default"/>
      </w:rPr>
    </w:lvl>
    <w:lvl w:ilvl="4" w:tentative="0">
      <w:start w:val="1"/>
      <w:numFmt w:val="decimal"/>
      <w:pStyle w:val="7"/>
      <w:lvlText w:val="%1.%2.%3.%4.%5."/>
      <w:lvlJc w:val="left"/>
      <w:pPr>
        <w:ind w:left="1008" w:hanging="1008"/>
      </w:pPr>
      <w:rPr>
        <w:rFonts w:hint="default"/>
      </w:rPr>
    </w:lvl>
    <w:lvl w:ilvl="5" w:tentative="0">
      <w:start w:val="1"/>
      <w:numFmt w:val="decimal"/>
      <w:pStyle w:val="8"/>
      <w:lvlText w:val="%1.%2.%3.%4.%5.%6."/>
      <w:lvlJc w:val="left"/>
      <w:pPr>
        <w:ind w:left="1151" w:hanging="1151"/>
      </w:pPr>
      <w:rPr>
        <w:rFonts w:hint="default"/>
      </w:rPr>
    </w:lvl>
    <w:lvl w:ilvl="6" w:tentative="0">
      <w:start w:val="1"/>
      <w:numFmt w:val="decimal"/>
      <w:pStyle w:val="9"/>
      <w:lvlText w:val="%1.%2.%3.%4.%5.%6.%7."/>
      <w:lvlJc w:val="left"/>
      <w:pPr>
        <w:ind w:left="1296" w:hanging="1296"/>
      </w:pPr>
      <w:rPr>
        <w:rFonts w:hint="default"/>
      </w:rPr>
    </w:lvl>
    <w:lvl w:ilvl="7" w:tentative="0">
      <w:start w:val="1"/>
      <w:numFmt w:val="decimal"/>
      <w:pStyle w:val="10"/>
      <w:lvlText w:val="%1.%2.%3.%4.%5.%6.%7.%8."/>
      <w:lvlJc w:val="left"/>
      <w:pPr>
        <w:ind w:left="1440" w:hanging="1440"/>
      </w:pPr>
      <w:rPr>
        <w:rFonts w:hint="default"/>
      </w:rPr>
    </w:lvl>
    <w:lvl w:ilvl="8" w:tentative="0">
      <w:start w:val="1"/>
      <w:numFmt w:val="decimal"/>
      <w:pStyle w:val="11"/>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682865"/>
    <w:rsid w:val="00425030"/>
    <w:rsid w:val="00CF7E60"/>
    <w:rsid w:val="020F6C21"/>
    <w:rsid w:val="06776DEB"/>
    <w:rsid w:val="069D2271"/>
    <w:rsid w:val="0973178D"/>
    <w:rsid w:val="0D26449A"/>
    <w:rsid w:val="0D951179"/>
    <w:rsid w:val="0DE26E74"/>
    <w:rsid w:val="10814AD9"/>
    <w:rsid w:val="111C128B"/>
    <w:rsid w:val="11E342DB"/>
    <w:rsid w:val="15E00238"/>
    <w:rsid w:val="163D6C1B"/>
    <w:rsid w:val="1A5D16BB"/>
    <w:rsid w:val="1AAD3A86"/>
    <w:rsid w:val="203A17B3"/>
    <w:rsid w:val="214D03CE"/>
    <w:rsid w:val="2393591D"/>
    <w:rsid w:val="241B5282"/>
    <w:rsid w:val="24525BB0"/>
    <w:rsid w:val="24BE6123"/>
    <w:rsid w:val="284C7E70"/>
    <w:rsid w:val="29473438"/>
    <w:rsid w:val="297861C1"/>
    <w:rsid w:val="2B682865"/>
    <w:rsid w:val="2DA31038"/>
    <w:rsid w:val="30437299"/>
    <w:rsid w:val="30D97DD7"/>
    <w:rsid w:val="397F7504"/>
    <w:rsid w:val="3A1B7657"/>
    <w:rsid w:val="43105621"/>
    <w:rsid w:val="448E4664"/>
    <w:rsid w:val="47E65D8B"/>
    <w:rsid w:val="4BE84679"/>
    <w:rsid w:val="4FA37960"/>
    <w:rsid w:val="527C5CC8"/>
    <w:rsid w:val="55F15DF6"/>
    <w:rsid w:val="568A58EC"/>
    <w:rsid w:val="57127A7F"/>
    <w:rsid w:val="5EF2131C"/>
    <w:rsid w:val="635C6AFB"/>
    <w:rsid w:val="65810525"/>
    <w:rsid w:val="6FDA54EF"/>
    <w:rsid w:val="7351102E"/>
    <w:rsid w:val="76FE1F51"/>
    <w:rsid w:val="78187497"/>
    <w:rsid w:val="7924493F"/>
    <w:rsid w:val="79B516A0"/>
    <w:rsid w:val="7B113F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numPr>
        <w:ilvl w:val="0"/>
        <w:numId w:val="1"/>
      </w:numPr>
      <w:spacing w:beforeLines="0" w:beforeAutospacing="0" w:after="200" w:afterLines="0" w:afterAutospacing="0" w:line="240" w:lineRule="auto"/>
      <w:ind w:left="432" w:hanging="432" w:firstLineChars="0"/>
      <w:jc w:val="center"/>
      <w:outlineLvl w:val="0"/>
    </w:pPr>
    <w:rPr>
      <w:rFonts w:ascii="仿宋" w:hAnsi="仿宋" w:eastAsia="仿宋" w:cs="仿宋"/>
      <w:b/>
      <w:kern w:val="44"/>
      <w:sz w:val="32"/>
      <w:szCs w:val="28"/>
    </w:rPr>
  </w:style>
  <w:style w:type="paragraph" w:styleId="4">
    <w:name w:val="heading 2"/>
    <w:basedOn w:val="1"/>
    <w:next w:val="1"/>
    <w:semiHidden/>
    <w:unhideWhenUsed/>
    <w:qFormat/>
    <w:uiPriority w:val="0"/>
    <w:pPr>
      <w:keepNext/>
      <w:keepLines/>
      <w:numPr>
        <w:ilvl w:val="1"/>
        <w:numId w:val="1"/>
      </w:numPr>
      <w:tabs>
        <w:tab w:val="left" w:pos="420"/>
      </w:tabs>
      <w:spacing w:before="300" w:beforeAutospacing="0" w:after="300" w:afterAutospacing="0" w:line="240" w:lineRule="auto"/>
      <w:ind w:left="113" w:hanging="113" w:firstLineChars="0"/>
      <w:jc w:val="left"/>
      <w:outlineLvl w:val="1"/>
    </w:pPr>
    <w:rPr>
      <w:rFonts w:ascii="仿宋" w:hAnsi="仿宋" w:cs="仿宋"/>
      <w:b/>
      <w:sz w:val="30"/>
      <w:szCs w:val="28"/>
    </w:rPr>
  </w:style>
  <w:style w:type="paragraph" w:styleId="5">
    <w:name w:val="heading 3"/>
    <w:basedOn w:val="4"/>
    <w:next w:val="1"/>
    <w:link w:val="22"/>
    <w:semiHidden/>
    <w:unhideWhenUsed/>
    <w:qFormat/>
    <w:uiPriority w:val="0"/>
    <w:pPr>
      <w:keepNext/>
      <w:keepLines/>
      <w:numPr>
        <w:ilvl w:val="2"/>
      </w:numPr>
      <w:spacing w:before="400" w:after="400" w:line="240" w:lineRule="auto"/>
      <w:ind w:left="0" w:firstLine="480" w:firstLineChars="150"/>
      <w:jc w:val="left"/>
      <w:outlineLvl w:val="2"/>
    </w:pPr>
    <w:rPr>
      <w:bCs/>
      <w:szCs w:val="32"/>
    </w:rPr>
  </w:style>
  <w:style w:type="paragraph" w:styleId="6">
    <w:name w:val="heading 4"/>
    <w:basedOn w:val="1"/>
    <w:next w:val="1"/>
    <w:semiHidden/>
    <w:unhideWhenUsed/>
    <w:qFormat/>
    <w:uiPriority w:val="0"/>
    <w:pPr>
      <w:keepNext/>
      <w:keepLines/>
      <w:numPr>
        <w:ilvl w:val="3"/>
        <w:numId w:val="1"/>
      </w:numPr>
      <w:spacing w:before="400" w:beforeLines="0" w:beforeAutospacing="0" w:after="400" w:afterLines="0" w:afterAutospacing="0" w:line="240" w:lineRule="auto"/>
      <w:ind w:left="864" w:hanging="864" w:firstLineChars="0"/>
      <w:outlineLvl w:val="3"/>
    </w:pPr>
    <w:rPr>
      <w:rFonts w:ascii="仿宋" w:hAnsi="仿宋" w:cs="仿宋"/>
      <w:b/>
      <w:szCs w:val="28"/>
    </w:rPr>
  </w:style>
  <w:style w:type="paragraph" w:styleId="7">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8">
    <w:name w:val="heading 6"/>
    <w:basedOn w:val="1"/>
    <w:next w:val="1"/>
    <w:semiHidden/>
    <w:unhideWhenUsed/>
    <w:qFormat/>
    <w:uiPriority w:val="0"/>
    <w:pPr>
      <w:keepNext/>
      <w:keepLines/>
      <w:numPr>
        <w:ilvl w:val="5"/>
        <w:numId w:val="1"/>
      </w:numPr>
      <w:spacing w:before="400" w:beforeLines="0" w:beforeAutospacing="0" w:after="400" w:afterLines="0" w:afterAutospacing="0" w:line="240" w:lineRule="auto"/>
      <w:ind w:left="1151" w:hanging="1151" w:firstLineChars="0"/>
      <w:outlineLvl w:val="5"/>
    </w:pPr>
    <w:rPr>
      <w:rFonts w:ascii="仿宋" w:hAnsi="仿宋" w:eastAsia="黑体" w:cs="仿宋"/>
      <w:b/>
      <w:sz w:val="28"/>
      <w:szCs w:val="28"/>
    </w:rPr>
  </w:style>
  <w:style w:type="paragraph" w:styleId="9">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10">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40" w:hanging="1440" w:firstLineChars="0"/>
      <w:outlineLvl w:val="7"/>
    </w:pPr>
    <w:rPr>
      <w:rFonts w:ascii="Arial" w:hAnsi="Arial" w:eastAsia="黑体"/>
      <w:sz w:val="24"/>
    </w:rPr>
  </w:style>
  <w:style w:type="paragraph" w:styleId="11">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83" w:hanging="1583" w:firstLineChars="0"/>
      <w:outlineLvl w:val="8"/>
    </w:pPr>
    <w:rPr>
      <w:rFonts w:ascii="Arial" w:hAnsi="Arial" w:eastAsia="黑体"/>
      <w:sz w:val="21"/>
    </w:rPr>
  </w:style>
  <w:style w:type="character" w:default="1" w:styleId="21">
    <w:name w:val="Default Paragraph Font"/>
    <w:semiHidden/>
    <w:unhideWhenUsed/>
    <w:uiPriority w:val="1"/>
  </w:style>
  <w:style w:type="table" w:default="1" w:styleId="20">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12">
    <w:name w:val="Body Text Indent"/>
    <w:basedOn w:val="1"/>
    <w:qFormat/>
    <w:uiPriority w:val="0"/>
    <w:pPr>
      <w:spacing w:after="120" w:afterLines="0" w:afterAutospacing="0"/>
      <w:ind w:left="420" w:leftChars="200"/>
    </w:pPr>
  </w:style>
  <w:style w:type="paragraph" w:styleId="13">
    <w:name w:val="toc 3"/>
    <w:basedOn w:val="1"/>
    <w:next w:val="1"/>
    <w:qFormat/>
    <w:uiPriority w:val="0"/>
    <w:pPr>
      <w:ind w:left="0" w:leftChars="0"/>
    </w:pPr>
    <w:rPr>
      <w:rFonts w:ascii="仿宋" w:hAnsi="仿宋" w:cs="仿宋"/>
      <w:szCs w:val="28"/>
    </w:rPr>
  </w:style>
  <w:style w:type="paragraph" w:styleId="14">
    <w:name w:val="Plain Text"/>
    <w:basedOn w:val="1"/>
    <w:uiPriority w:val="0"/>
    <w:rPr>
      <w:rFonts w:ascii="宋体" w:hAnsi="Courier New"/>
    </w:rPr>
  </w:style>
  <w:style w:type="paragraph" w:styleId="15">
    <w:name w:val="toc 1"/>
    <w:basedOn w:val="1"/>
    <w:next w:val="1"/>
    <w:qFormat/>
    <w:uiPriority w:val="0"/>
    <w:pPr>
      <w:ind w:firstLine="0" w:firstLineChars="0"/>
    </w:pPr>
    <w:rPr>
      <w:rFonts w:ascii="仿宋" w:hAnsi="仿宋" w:cs="仿宋"/>
      <w:b/>
      <w:szCs w:val="28"/>
    </w:rPr>
  </w:style>
  <w:style w:type="paragraph" w:styleId="16">
    <w:name w:val="toc 2"/>
    <w:basedOn w:val="1"/>
    <w:next w:val="1"/>
    <w:qFormat/>
    <w:uiPriority w:val="0"/>
    <w:pPr>
      <w:ind w:left="0" w:leftChars="0"/>
    </w:pPr>
    <w:rPr>
      <w:rFonts w:ascii="仿宋" w:hAnsi="仿宋" w:cs="仿宋"/>
      <w:szCs w:val="28"/>
    </w:rPr>
  </w:style>
  <w:style w:type="paragraph" w:styleId="17">
    <w:name w:val="Normal (Web)"/>
    <w:basedOn w:val="1"/>
    <w:qFormat/>
    <w:uiPriority w:val="0"/>
    <w:pPr>
      <w:spacing w:before="0" w:beforeAutospacing="1" w:after="0" w:afterAutospacing="1" w:line="400" w:lineRule="exact"/>
      <w:ind w:left="0" w:right="0" w:firstLine="0" w:firstLineChars="0"/>
      <w:jc w:val="left"/>
    </w:pPr>
    <w:rPr>
      <w:kern w:val="0"/>
      <w:sz w:val="24"/>
      <w:lang w:val="en-US" w:eastAsia="zh-CN" w:bidi="ar"/>
    </w:rPr>
  </w:style>
  <w:style w:type="paragraph" w:styleId="18">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19">
    <w:name w:val="Body Text First Indent 2"/>
    <w:basedOn w:val="12"/>
    <w:qFormat/>
    <w:uiPriority w:val="0"/>
    <w:pPr>
      <w:ind w:firstLine="420" w:firstLineChars="200"/>
    </w:pPr>
  </w:style>
  <w:style w:type="character" w:customStyle="1" w:styleId="22">
    <w:name w:val="标题 3 Char"/>
    <w:basedOn w:val="21"/>
    <w:link w:val="5"/>
    <w:qFormat/>
    <w:uiPriority w:val="9"/>
    <w:rPr>
      <w:rFonts w:ascii="Times New Roman" w:hAnsi="Times New Roman" w:eastAsia="仿宋" w:cs="Times New Roman"/>
      <w:b/>
      <w:bCs/>
      <w:sz w:val="30"/>
      <w:szCs w:val="32"/>
    </w:rPr>
  </w:style>
  <w:style w:type="paragraph" w:customStyle="1" w:styleId="23">
    <w:name w:val="表格"/>
    <w:basedOn w:val="1"/>
    <w:uiPriority w:val="0"/>
    <w:pPr>
      <w:spacing w:line="360" w:lineRule="exact"/>
      <w:ind w:firstLine="0" w:firstLineChars="0"/>
      <w:jc w:val="center"/>
    </w:pPr>
    <w:rPr>
      <w:rFonts w:ascii="仿宋" w:hAnsi="仿宋" w:cs="仿宋"/>
      <w:sz w:val="24"/>
      <w:szCs w:val="28"/>
    </w:rPr>
  </w:style>
  <w:style w:type="paragraph" w:customStyle="1" w:styleId="24">
    <w:name w:val="附注"/>
    <w:basedOn w:val="1"/>
    <w:next w:val="1"/>
    <w:uiPriority w:val="0"/>
    <w:pPr>
      <w:spacing w:line="360" w:lineRule="exact"/>
    </w:pPr>
    <w:rPr>
      <w:rFonts w:ascii="仿宋" w:hAnsi="仿宋" w:eastAsia="仿宋" w:cs="仿宋"/>
      <w:b/>
      <w:i/>
      <w:sz w:val="24"/>
      <w:szCs w:val="28"/>
    </w:rPr>
  </w:style>
  <w:style w:type="paragraph" w:customStyle="1" w:styleId="25">
    <w:name w:val="居中加粗"/>
    <w:basedOn w:val="1"/>
    <w:uiPriority w:val="0"/>
    <w:pPr>
      <w:ind w:firstLine="0" w:firstLineChars="0"/>
      <w:jc w:val="center"/>
    </w:pPr>
    <w:rPr>
      <w:rFonts w:ascii="仿宋" w:hAnsi="仿宋" w:cs="仿宋"/>
      <w:b/>
      <w:sz w:val="30"/>
      <w:szCs w:val="28"/>
    </w:rPr>
  </w:style>
  <w:style w:type="paragraph" w:customStyle="1" w:styleId="26">
    <w:name w:val="封面-公司名称"/>
    <w:basedOn w:val="1"/>
    <w:next w:val="18"/>
    <w:uiPriority w:val="0"/>
    <w:rPr>
      <w:rFonts w:ascii="仿宋" w:hAnsi="仿宋"/>
      <w:sz w:val="44"/>
    </w:rPr>
  </w:style>
  <w:style w:type="paragraph" w:customStyle="1" w:styleId="27">
    <w:name w:val="封面-项目名称"/>
    <w:basedOn w:val="14"/>
    <w:next w:val="14"/>
    <w:qFormat/>
    <w:uiPriority w:val="0"/>
    <w:pPr>
      <w:spacing w:line="240" w:lineRule="auto"/>
      <w:ind w:firstLine="0" w:firstLineChars="0"/>
      <w:jc w:val="center"/>
    </w:pPr>
    <w:rPr>
      <w:rFonts w:hAnsi="宋体" w:cs="仿宋"/>
      <w:b/>
      <w:sz w:val="84"/>
      <w:szCs w:val="28"/>
    </w:rPr>
  </w:style>
  <w:style w:type="paragraph" w:customStyle="1" w:styleId="28">
    <w:name w:val="封面-项目标号"/>
    <w:next w:val="14"/>
    <w:qFormat/>
    <w:uiPriority w:val="0"/>
    <w:pPr>
      <w:jc w:val="center"/>
    </w:pPr>
    <w:rPr>
      <w:rFonts w:ascii="仿宋" w:hAnsi="仿宋" w:eastAsia="仿宋" w:cstheme="minorBidi"/>
      <w:sz w:val="36"/>
    </w:rPr>
  </w:style>
  <w:style w:type="paragraph" w:customStyle="1" w:styleId="29">
    <w:name w:val="封面-投标文件"/>
    <w:basedOn w:val="14"/>
    <w:next w:val="14"/>
    <w:qFormat/>
    <w:uiPriority w:val="0"/>
    <w:pPr>
      <w:ind w:firstLine="0" w:firstLineChars="0"/>
      <w:jc w:val="center"/>
    </w:pPr>
    <w:rPr>
      <w:rFonts w:hAnsi="宋体" w:cs="仿宋"/>
      <w:b/>
      <w:sz w:val="84"/>
      <w:szCs w:val="28"/>
    </w:rPr>
  </w:style>
  <w:style w:type="paragraph" w:customStyle="1" w:styleId="30">
    <w:name w:val="封面-公司名称地址"/>
    <w:basedOn w:val="14"/>
    <w:next w:val="14"/>
    <w:qFormat/>
    <w:uiPriority w:val="0"/>
    <w:pPr>
      <w:ind w:firstLine="0" w:firstLineChars="0"/>
      <w:jc w:val="center"/>
    </w:pPr>
    <w:rPr>
      <w:rFonts w:ascii="仿宋" w:hAnsi="仿宋" w:eastAsia="仿宋" w:cs="仿宋"/>
      <w:sz w:val="30"/>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2020-12-17T03:38:00Z</dcterms:created>
  <dc:creator>恍若゛隔世い</dc:creator>
  <cp:lastModifiedBy>恍若゛隔世い</cp:lastModifiedBy>
  <dcterms:modified xsi:type="dcterms:W3CDTF">2020-12-17T03:39:58Z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