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numId w:val="0"/>
        </w:numPr>
        <w:bidi w:val="0"/>
        <w:ind w:leftChars="0"/>
        <w:jc w:val="center"/>
      </w:pPr>
      <w:bookmarkStart w:id="0" w:name="_GoBack"/>
      <w:bookmarkEnd w:id="0"/>
      <w:r>
        <w:rPr>
          <w:rFonts w:hint="eastAsia"/>
        </w:rPr>
        <w:t>云冈区公共文化服务领域基层政务公开标准目录</w:t>
      </w:r>
    </w:p>
    <w:tbl>
      <w:tblPr>
        <w:tblStyle w:val="20"/>
        <w:tblW w:w="5430" w:type="pct"/>
        <w:jc w:val="center"/>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Layout w:type="fixed"/>
        <w:tblCellMar>
          <w:top w:w="0" w:type="dxa"/>
          <w:left w:w="0" w:type="dxa"/>
          <w:bottom w:w="0" w:type="dxa"/>
          <w:right w:w="0" w:type="dxa"/>
        </w:tblCellMar>
      </w:tblPr>
      <w:tblGrid>
        <w:gridCol w:w="636"/>
        <w:gridCol w:w="684"/>
        <w:gridCol w:w="1260"/>
        <w:gridCol w:w="1500"/>
        <w:gridCol w:w="2340"/>
        <w:gridCol w:w="1380"/>
        <w:gridCol w:w="960"/>
        <w:gridCol w:w="851"/>
        <w:gridCol w:w="1280"/>
        <w:gridCol w:w="586"/>
        <w:gridCol w:w="544"/>
        <w:gridCol w:w="507"/>
        <w:gridCol w:w="632"/>
        <w:gridCol w:w="598"/>
        <w:gridCol w:w="544"/>
        <w:gridCol w:w="890"/>
      </w:tblGrid>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vMerge w:val="restart"/>
            <w:tcBorders>
              <w:top w:val="single" w:color="auto" w:sz="4" w:space="0"/>
              <w:left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序号</w:t>
            </w:r>
          </w:p>
        </w:tc>
        <w:tc>
          <w:tcPr>
            <w:tcW w:w="639" w:type="pct"/>
            <w:gridSpan w:val="2"/>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公开事项</w:t>
            </w:r>
          </w:p>
        </w:tc>
        <w:tc>
          <w:tcPr>
            <w:tcW w:w="493" w:type="pct"/>
            <w:vMerge w:val="restar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公开内容（要素）</w:t>
            </w:r>
          </w:p>
        </w:tc>
        <w:tc>
          <w:tcPr>
            <w:tcW w:w="770" w:type="pct"/>
            <w:vMerge w:val="restar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公开依据</w:t>
            </w:r>
          </w:p>
        </w:tc>
        <w:tc>
          <w:tcPr>
            <w:tcW w:w="454" w:type="pct"/>
            <w:vMerge w:val="restar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公开时限</w:t>
            </w:r>
          </w:p>
        </w:tc>
        <w:tc>
          <w:tcPr>
            <w:tcW w:w="315" w:type="pct"/>
            <w:vMerge w:val="restar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公开主体</w:t>
            </w:r>
          </w:p>
        </w:tc>
        <w:tc>
          <w:tcPr>
            <w:tcW w:w="280" w:type="pct"/>
            <w:vMerge w:val="restar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责任股（室）</w:t>
            </w:r>
          </w:p>
        </w:tc>
        <w:tc>
          <w:tcPr>
            <w:tcW w:w="421" w:type="pct"/>
            <w:vMerge w:val="restar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公开渠道和载体</w:t>
            </w:r>
          </w:p>
        </w:tc>
        <w:tc>
          <w:tcPr>
            <w:tcW w:w="371" w:type="pct"/>
            <w:gridSpan w:val="2"/>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公开对象</w:t>
            </w:r>
          </w:p>
        </w:tc>
        <w:tc>
          <w:tcPr>
            <w:tcW w:w="374" w:type="pct"/>
            <w:gridSpan w:val="2"/>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公开方式</w:t>
            </w:r>
          </w:p>
        </w:tc>
        <w:tc>
          <w:tcPr>
            <w:tcW w:w="375" w:type="pct"/>
            <w:gridSpan w:val="2"/>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公开层级</w:t>
            </w:r>
          </w:p>
        </w:tc>
        <w:tc>
          <w:tcPr>
            <w:tcW w:w="292" w:type="pct"/>
            <w:vMerge w:val="restart"/>
            <w:tcBorders>
              <w:top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咨询及监督</w:t>
            </w:r>
            <w:r>
              <w:rPr>
                <w:rFonts w:hint="eastAsia" w:ascii="宋体" w:hAnsi="宋体" w:cs="宋体"/>
                <w:b/>
                <w:kern w:val="0"/>
                <w:sz w:val="22"/>
                <w:szCs w:val="22"/>
                <w:lang w:bidi="ar"/>
              </w:rPr>
              <w:br w:type="textWrapping"/>
            </w:r>
            <w:r>
              <w:rPr>
                <w:rFonts w:hint="eastAsia" w:ascii="宋体" w:hAnsi="宋体" w:cs="宋体"/>
                <w:b/>
                <w:kern w:val="0"/>
                <w:sz w:val="22"/>
                <w:szCs w:val="22"/>
                <w:lang w:bidi="ar"/>
              </w:rPr>
              <w:t>电话</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vMerge w:val="continue"/>
            <w:tcBorders>
              <w:top w:val="single" w:color="auto" w:sz="4" w:space="0"/>
              <w:left w:val="single" w:color="auto" w:sz="4" w:space="0"/>
              <w:bottom w:val="single" w:color="auto" w:sz="4" w:space="0"/>
            </w:tcBorders>
            <w:noWrap w:val="0"/>
            <w:tcMar>
              <w:top w:w="15" w:type="dxa"/>
              <w:left w:w="15" w:type="dxa"/>
              <w:right w:w="15" w:type="dxa"/>
            </w:tcMar>
            <w:vAlign w:val="center"/>
          </w:tcPr>
          <w:p>
            <w:pPr>
              <w:jc w:val="center"/>
              <w:rPr>
                <w:rFonts w:ascii="宋体" w:hAnsi="宋体" w:cs="宋体"/>
                <w:b/>
                <w:sz w:val="22"/>
                <w:szCs w:val="22"/>
              </w:rPr>
            </w:pPr>
          </w:p>
        </w:tc>
        <w:tc>
          <w:tcPr>
            <w:tcW w:w="225" w:type="pc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一级事项</w:t>
            </w:r>
          </w:p>
        </w:tc>
        <w:tc>
          <w:tcPr>
            <w:tcW w:w="414" w:type="pc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二级事项</w:t>
            </w:r>
          </w:p>
        </w:tc>
        <w:tc>
          <w:tcPr>
            <w:tcW w:w="493" w:type="pct"/>
            <w:vMerge w:val="continue"/>
            <w:tcBorders>
              <w:top w:val="single" w:color="auto" w:sz="4" w:space="0"/>
              <w:bottom w:val="single" w:color="auto"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770" w:type="pct"/>
            <w:vMerge w:val="continue"/>
            <w:tcBorders>
              <w:top w:val="single" w:color="auto" w:sz="4" w:space="0"/>
              <w:bottom w:val="single" w:color="auto"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454" w:type="pct"/>
            <w:vMerge w:val="continue"/>
            <w:tcBorders>
              <w:top w:val="single" w:color="auto" w:sz="4" w:space="0"/>
              <w:bottom w:val="single" w:color="auto"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315" w:type="pct"/>
            <w:vMerge w:val="continue"/>
            <w:tcBorders>
              <w:top w:val="single" w:color="auto" w:sz="4" w:space="0"/>
              <w:bottom w:val="single" w:color="auto"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280" w:type="pct"/>
            <w:vMerge w:val="continue"/>
            <w:tcBorders>
              <w:top w:val="single" w:color="auto" w:sz="4" w:space="0"/>
              <w:bottom w:val="single" w:color="auto"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421" w:type="pct"/>
            <w:vMerge w:val="continue"/>
            <w:tcBorders>
              <w:top w:val="single" w:color="auto" w:sz="4" w:space="0"/>
              <w:bottom w:val="single" w:color="auto" w:sz="4" w:space="0"/>
            </w:tcBorders>
            <w:noWrap w:val="0"/>
            <w:tcMar>
              <w:top w:w="15" w:type="dxa"/>
              <w:left w:w="15" w:type="dxa"/>
              <w:right w:w="15" w:type="dxa"/>
            </w:tcMar>
            <w:vAlign w:val="center"/>
          </w:tcPr>
          <w:p>
            <w:pPr>
              <w:jc w:val="center"/>
              <w:rPr>
                <w:rFonts w:ascii="黑体" w:hAnsi="宋体" w:eastAsia="黑体" w:cs="黑体"/>
                <w:b/>
                <w:sz w:val="22"/>
                <w:szCs w:val="22"/>
              </w:rPr>
            </w:pPr>
          </w:p>
        </w:tc>
        <w:tc>
          <w:tcPr>
            <w:tcW w:w="192" w:type="pc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全社会</w:t>
            </w:r>
          </w:p>
        </w:tc>
        <w:tc>
          <w:tcPr>
            <w:tcW w:w="179" w:type="pc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特定群 众</w:t>
            </w:r>
          </w:p>
        </w:tc>
        <w:tc>
          <w:tcPr>
            <w:tcW w:w="166" w:type="pc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主动</w:t>
            </w:r>
          </w:p>
        </w:tc>
        <w:tc>
          <w:tcPr>
            <w:tcW w:w="208" w:type="pc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依申请公开</w:t>
            </w:r>
          </w:p>
        </w:tc>
        <w:tc>
          <w:tcPr>
            <w:tcW w:w="196" w:type="pc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县级</w:t>
            </w:r>
          </w:p>
        </w:tc>
        <w:tc>
          <w:tcPr>
            <w:tcW w:w="179" w:type="pct"/>
            <w:tcBorders>
              <w:top w:val="single" w:color="auto" w:sz="4" w:space="0"/>
              <w:bottom w:val="single" w:color="auto" w:sz="4" w:space="0"/>
            </w:tcBorders>
            <w:noWrap w:val="0"/>
            <w:tcMar>
              <w:top w:w="15" w:type="dxa"/>
              <w:left w:w="15" w:type="dxa"/>
              <w:right w:w="15" w:type="dxa"/>
            </w:tcMar>
            <w:vAlign w:val="center"/>
          </w:tcPr>
          <w:p>
            <w:pPr>
              <w:widowControl/>
              <w:jc w:val="center"/>
              <w:textAlignment w:val="center"/>
              <w:rPr>
                <w:rFonts w:ascii="黑体" w:hAnsi="宋体" w:eastAsia="黑体" w:cs="黑体"/>
                <w:b/>
                <w:sz w:val="22"/>
                <w:szCs w:val="22"/>
              </w:rPr>
            </w:pPr>
            <w:r>
              <w:rPr>
                <w:rFonts w:hint="eastAsia" w:ascii="黑体" w:hAnsi="宋体" w:eastAsia="黑体" w:cs="黑体"/>
                <w:b/>
                <w:kern w:val="0"/>
                <w:sz w:val="22"/>
                <w:szCs w:val="22"/>
                <w:lang w:bidi="ar"/>
              </w:rPr>
              <w:t>乡、村级</w:t>
            </w:r>
          </w:p>
        </w:tc>
        <w:tc>
          <w:tcPr>
            <w:tcW w:w="292" w:type="pct"/>
            <w:vMerge w:val="continue"/>
            <w:tcBorders>
              <w:top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ascii="宋体" w:hAnsi="宋体" w:cs="宋体"/>
                <w:b/>
                <w:sz w:val="22"/>
                <w:szCs w:val="22"/>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tcBorders>
              <w:top w:val="single" w:color="auto" w:sz="4" w:space="0"/>
              <w:left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1</w:t>
            </w:r>
          </w:p>
        </w:tc>
        <w:tc>
          <w:tcPr>
            <w:tcW w:w="22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w:t>
            </w:r>
            <w:r>
              <w:rPr>
                <w:rFonts w:hint="eastAsia" w:ascii="仿宋" w:hAnsi="仿宋" w:eastAsia="仿宋" w:cs="仿宋"/>
                <w:sz w:val="21"/>
                <w:szCs w:val="21"/>
              </w:rPr>
              <w:br w:type="textWrapping"/>
            </w:r>
            <w:r>
              <w:rPr>
                <w:rFonts w:hint="eastAsia" w:ascii="仿宋" w:hAnsi="仿宋" w:eastAsia="仿宋" w:cs="仿宋"/>
                <w:sz w:val="21"/>
                <w:szCs w:val="21"/>
              </w:rPr>
              <w:t>许可</w:t>
            </w:r>
          </w:p>
        </w:tc>
        <w:tc>
          <w:tcPr>
            <w:tcW w:w="41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互联网上网服务营业场所经营许可</w:t>
            </w:r>
          </w:p>
        </w:tc>
        <w:tc>
          <w:tcPr>
            <w:tcW w:w="493" w:type="pct"/>
            <w:tcBorders>
              <w:top w:val="single" w:color="auto" w:sz="4" w:space="0"/>
              <w:bottom w:val="single" w:color="auto" w:sz="4" w:space="0"/>
            </w:tcBorders>
            <w:noWrap w:val="0"/>
            <w:tcMar>
              <w:top w:w="15" w:type="dxa"/>
              <w:left w:w="15" w:type="dxa"/>
              <w:right w:w="15" w:type="dxa"/>
            </w:tcMar>
            <w:vAlign w:val="top"/>
          </w:tcPr>
          <w:p>
            <w:pPr>
              <w:spacing w:line="240" w:lineRule="exact"/>
              <w:ind w:firstLine="210" w:firstLineChars="100"/>
              <w:rPr>
                <w:rFonts w:hint="eastAsia" w:ascii="仿宋" w:hAnsi="仿宋" w:eastAsia="仿宋" w:cs="仿宋"/>
                <w:sz w:val="21"/>
                <w:szCs w:val="21"/>
              </w:rPr>
            </w:pPr>
            <w:r>
              <w:rPr>
                <w:rFonts w:hint="eastAsia" w:ascii="仿宋" w:hAnsi="仿宋" w:eastAsia="仿宋" w:cs="仿宋"/>
                <w:sz w:val="21"/>
                <w:szCs w:val="21"/>
              </w:rPr>
              <w:t>1.办事指南：主要包括事项名称、设定依据、申请条件、办理材料、办理地点、办理时间、联系电话、办理流程、办理期限、申请行政许可需要提交的全部材料目录及办理情况;</w:t>
            </w:r>
            <w:r>
              <w:rPr>
                <w:rFonts w:hint="eastAsia" w:ascii="仿宋" w:hAnsi="仿宋" w:eastAsia="仿宋" w:cs="仿宋"/>
                <w:sz w:val="21"/>
                <w:szCs w:val="21"/>
              </w:rPr>
              <w:br w:type="textWrapping"/>
            </w:r>
            <w:r>
              <w:rPr>
                <w:rFonts w:hint="eastAsia" w:ascii="仿宋" w:hAnsi="仿宋" w:eastAsia="仿宋" w:cs="仿宋"/>
                <w:sz w:val="21"/>
                <w:szCs w:val="21"/>
              </w:rPr>
              <w:t>2.行政许可决定。</w:t>
            </w:r>
          </w:p>
        </w:tc>
        <w:tc>
          <w:tcPr>
            <w:tcW w:w="770"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《行政许可法》、《政府信息公开条例》、《互联网上网服务营业场所管理条例》</w:t>
            </w:r>
          </w:p>
        </w:tc>
        <w:tc>
          <w:tcPr>
            <w:tcW w:w="454" w:type="pct"/>
            <w:tcBorders>
              <w:top w:val="single" w:color="auto" w:sz="4" w:space="0"/>
              <w:bottom w:val="single" w:color="auto" w:sz="4" w:space="0"/>
            </w:tcBorders>
            <w:noWrap/>
            <w:tcMar>
              <w:top w:w="15" w:type="dxa"/>
              <w:left w:w="15" w:type="dxa"/>
              <w:right w:w="15" w:type="dxa"/>
            </w:tcMar>
            <w:vAlign w:val="center"/>
          </w:tcPr>
          <w:p>
            <w:pPr>
              <w:spacing w:line="240" w:lineRule="exact"/>
              <w:jc w:val="center"/>
              <w:rPr>
                <w:rFonts w:hint="eastAsia" w:ascii="仿宋" w:hAnsi="仿宋" w:eastAsia="仿宋" w:cs="仿宋"/>
                <w:sz w:val="21"/>
                <w:szCs w:val="21"/>
              </w:rPr>
            </w:pPr>
            <w:r>
              <w:rPr>
                <w:rFonts w:hint="eastAsia" w:ascii="仿宋" w:hAnsi="仿宋" w:eastAsia="仿宋" w:cs="仿宋"/>
                <w:sz w:val="21"/>
                <w:szCs w:val="21"/>
              </w:rPr>
              <w:t>信息形成或变更之日起20个工作日内公开</w:t>
            </w:r>
          </w:p>
        </w:tc>
        <w:tc>
          <w:tcPr>
            <w:tcW w:w="31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80"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市场准入股</w:t>
            </w:r>
          </w:p>
        </w:tc>
        <w:tc>
          <w:tcPr>
            <w:tcW w:w="421" w:type="pct"/>
            <w:tcBorders>
              <w:top w:val="single" w:color="auto" w:sz="4" w:space="0"/>
              <w:bottom w:val="single" w:color="auto" w:sz="4" w:space="0"/>
            </w:tcBorders>
            <w:noWrap/>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192"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6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08"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9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92" w:type="pct"/>
            <w:tcBorders>
              <w:top w:val="single" w:color="auto" w:sz="4" w:space="0"/>
              <w:bottom w:val="single" w:color="auto" w:sz="4" w:space="0"/>
              <w:right w:val="single" w:color="auto"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0352-4010876</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tcBorders>
              <w:top w:val="single" w:color="auto" w:sz="4" w:space="0"/>
              <w:left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2</w:t>
            </w:r>
          </w:p>
        </w:tc>
        <w:tc>
          <w:tcPr>
            <w:tcW w:w="22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w:t>
            </w:r>
            <w:r>
              <w:rPr>
                <w:rFonts w:hint="eastAsia" w:ascii="仿宋" w:hAnsi="仿宋" w:eastAsia="仿宋" w:cs="仿宋"/>
                <w:sz w:val="21"/>
                <w:szCs w:val="21"/>
              </w:rPr>
              <w:br w:type="textWrapping"/>
            </w:r>
            <w:r>
              <w:rPr>
                <w:rFonts w:hint="eastAsia" w:ascii="仿宋" w:hAnsi="仿宋" w:eastAsia="仿宋" w:cs="仿宋"/>
                <w:sz w:val="21"/>
                <w:szCs w:val="21"/>
              </w:rPr>
              <w:t>许可</w:t>
            </w:r>
          </w:p>
        </w:tc>
        <w:tc>
          <w:tcPr>
            <w:tcW w:w="41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文艺表演团体设立审批</w:t>
            </w:r>
          </w:p>
        </w:tc>
        <w:tc>
          <w:tcPr>
            <w:tcW w:w="493"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1.办事指南：内容同上;</w:t>
            </w:r>
            <w:r>
              <w:rPr>
                <w:rFonts w:hint="eastAsia" w:ascii="仿宋" w:hAnsi="仿宋" w:eastAsia="仿宋" w:cs="仿宋"/>
                <w:sz w:val="21"/>
                <w:szCs w:val="21"/>
              </w:rPr>
              <w:br w:type="textWrapping"/>
            </w:r>
            <w:r>
              <w:rPr>
                <w:rFonts w:hint="eastAsia" w:ascii="仿宋" w:hAnsi="仿宋" w:eastAsia="仿宋" w:cs="仿宋"/>
                <w:sz w:val="21"/>
                <w:szCs w:val="21"/>
              </w:rPr>
              <w:t>2.行政许可决定。</w:t>
            </w:r>
          </w:p>
        </w:tc>
        <w:tc>
          <w:tcPr>
            <w:tcW w:w="770"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 xml:space="preserve">《行政许可法》、《政府信息公开条例》、《营业性演出管理条例》、《文化部关于落实“先照后证”改进文化市场行政审批工作的通知》 </w:t>
            </w:r>
          </w:p>
        </w:tc>
        <w:tc>
          <w:tcPr>
            <w:tcW w:w="454" w:type="pct"/>
            <w:tcBorders>
              <w:top w:val="single" w:color="auto" w:sz="4" w:space="0"/>
              <w:bottom w:val="single" w:color="auto" w:sz="4" w:space="0"/>
            </w:tcBorders>
            <w:noWrap w:val="0"/>
            <w:tcMar>
              <w:top w:w="15" w:type="dxa"/>
              <w:left w:w="15" w:type="dxa"/>
              <w:right w:w="15" w:type="dxa"/>
            </w:tcMar>
            <w:vAlign w:val="top"/>
          </w:tcPr>
          <w:p>
            <w:pPr>
              <w:spacing w:line="240" w:lineRule="exact"/>
              <w:rPr>
                <w:rFonts w:hint="eastAsia" w:ascii="仿宋" w:hAnsi="仿宋" w:eastAsia="仿宋" w:cs="仿宋"/>
                <w:sz w:val="21"/>
                <w:szCs w:val="21"/>
              </w:rPr>
            </w:pPr>
            <w:r>
              <w:rPr>
                <w:rFonts w:hint="eastAsia" w:ascii="仿宋" w:hAnsi="仿宋" w:eastAsia="仿宋" w:cs="仿宋"/>
                <w:sz w:val="21"/>
                <w:szCs w:val="21"/>
              </w:rPr>
              <w:t>信息形成或变更之日起20个工作日内公开</w:t>
            </w:r>
          </w:p>
        </w:tc>
        <w:tc>
          <w:tcPr>
            <w:tcW w:w="31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80"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市场准入股</w:t>
            </w:r>
          </w:p>
        </w:tc>
        <w:tc>
          <w:tcPr>
            <w:tcW w:w="421" w:type="pct"/>
            <w:tcBorders>
              <w:top w:val="single" w:color="auto" w:sz="4" w:space="0"/>
              <w:bottom w:val="single" w:color="auto"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192"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6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08"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9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92" w:type="pct"/>
            <w:tcBorders>
              <w:top w:val="single" w:color="auto" w:sz="4" w:space="0"/>
              <w:bottom w:val="single" w:color="auto" w:sz="4" w:space="0"/>
              <w:right w:val="single" w:color="auto"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0352-4010876</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tcBorders>
              <w:top w:val="single" w:color="auto" w:sz="4" w:space="0"/>
              <w:left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3</w:t>
            </w:r>
          </w:p>
        </w:tc>
        <w:tc>
          <w:tcPr>
            <w:tcW w:w="22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w:t>
            </w:r>
            <w:r>
              <w:rPr>
                <w:rFonts w:hint="eastAsia" w:ascii="仿宋" w:hAnsi="仿宋" w:eastAsia="仿宋" w:cs="仿宋"/>
                <w:sz w:val="21"/>
                <w:szCs w:val="21"/>
              </w:rPr>
              <w:br w:type="textWrapping"/>
            </w:r>
            <w:r>
              <w:rPr>
                <w:rFonts w:hint="eastAsia" w:ascii="仿宋" w:hAnsi="仿宋" w:eastAsia="仿宋" w:cs="仿宋"/>
                <w:sz w:val="21"/>
                <w:szCs w:val="21"/>
              </w:rPr>
              <w:t>许可</w:t>
            </w:r>
          </w:p>
        </w:tc>
        <w:tc>
          <w:tcPr>
            <w:tcW w:w="41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营业性演出审批</w:t>
            </w:r>
          </w:p>
        </w:tc>
        <w:tc>
          <w:tcPr>
            <w:tcW w:w="493" w:type="pct"/>
            <w:tcBorders>
              <w:top w:val="single" w:color="auto" w:sz="4" w:space="0"/>
              <w:bottom w:val="single" w:color="auto" w:sz="4" w:space="0"/>
            </w:tcBorders>
            <w:noWrap w:val="0"/>
            <w:tcMar>
              <w:top w:w="15" w:type="dxa"/>
              <w:left w:w="15" w:type="dxa"/>
              <w:right w:w="15" w:type="dxa"/>
            </w:tcMar>
            <w:vAlign w:val="top"/>
          </w:tcPr>
          <w:p>
            <w:pPr>
              <w:spacing w:line="240" w:lineRule="exact"/>
              <w:rPr>
                <w:rFonts w:hint="eastAsia" w:ascii="仿宋" w:hAnsi="仿宋" w:eastAsia="仿宋" w:cs="仿宋"/>
                <w:sz w:val="21"/>
                <w:szCs w:val="21"/>
              </w:rPr>
            </w:pPr>
            <w:r>
              <w:rPr>
                <w:rFonts w:hint="eastAsia" w:ascii="仿宋" w:hAnsi="仿宋" w:eastAsia="仿宋" w:cs="仿宋"/>
                <w:sz w:val="21"/>
                <w:szCs w:val="21"/>
              </w:rPr>
              <w:t>1.办事指南：内容同上;</w:t>
            </w:r>
            <w:r>
              <w:rPr>
                <w:rFonts w:hint="eastAsia" w:ascii="仿宋" w:hAnsi="仿宋" w:eastAsia="仿宋" w:cs="仿宋"/>
                <w:sz w:val="21"/>
                <w:szCs w:val="21"/>
              </w:rPr>
              <w:br w:type="textWrapping"/>
            </w:r>
            <w:r>
              <w:rPr>
                <w:rFonts w:hint="eastAsia" w:ascii="仿宋" w:hAnsi="仿宋" w:eastAsia="仿宋" w:cs="仿宋"/>
                <w:sz w:val="21"/>
                <w:szCs w:val="21"/>
              </w:rPr>
              <w:t>2.行政许可决定。</w:t>
            </w:r>
          </w:p>
        </w:tc>
        <w:tc>
          <w:tcPr>
            <w:tcW w:w="770"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 xml:space="preserve">《行政许可法》、《政府信息公开条例》、《营业性演出管理条例》、《文化部关于落实“先照后证”改进文化市场行政审批工作的通知》 </w:t>
            </w:r>
          </w:p>
        </w:tc>
        <w:tc>
          <w:tcPr>
            <w:tcW w:w="45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信息形成或变更之日起20个工作日内公开</w:t>
            </w:r>
          </w:p>
        </w:tc>
        <w:tc>
          <w:tcPr>
            <w:tcW w:w="31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80"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市场准入股</w:t>
            </w:r>
          </w:p>
        </w:tc>
        <w:tc>
          <w:tcPr>
            <w:tcW w:w="421" w:type="pct"/>
            <w:tcBorders>
              <w:top w:val="single" w:color="auto" w:sz="4" w:space="0"/>
              <w:bottom w:val="single" w:color="auto"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192"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6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08"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9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92" w:type="pct"/>
            <w:tcBorders>
              <w:top w:val="single" w:color="auto" w:sz="4" w:space="0"/>
              <w:bottom w:val="single" w:color="auto" w:sz="4" w:space="0"/>
              <w:right w:val="single" w:color="auto"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0352-4010876</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tcBorders>
              <w:top w:val="single" w:color="auto" w:sz="4" w:space="0"/>
              <w:left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4</w:t>
            </w:r>
          </w:p>
        </w:tc>
        <w:tc>
          <w:tcPr>
            <w:tcW w:w="22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w:t>
            </w:r>
            <w:r>
              <w:rPr>
                <w:rFonts w:hint="eastAsia" w:ascii="仿宋" w:hAnsi="仿宋" w:eastAsia="仿宋" w:cs="仿宋"/>
                <w:sz w:val="21"/>
                <w:szCs w:val="21"/>
              </w:rPr>
              <w:br w:type="textWrapping"/>
            </w:r>
            <w:r>
              <w:rPr>
                <w:rFonts w:hint="eastAsia" w:ascii="仿宋" w:hAnsi="仿宋" w:eastAsia="仿宋" w:cs="仿宋"/>
                <w:sz w:val="21"/>
                <w:szCs w:val="21"/>
              </w:rPr>
              <w:t>许可</w:t>
            </w:r>
          </w:p>
        </w:tc>
        <w:tc>
          <w:tcPr>
            <w:tcW w:w="41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娱乐场所经营许可</w:t>
            </w:r>
          </w:p>
        </w:tc>
        <w:tc>
          <w:tcPr>
            <w:tcW w:w="493"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1.办事指南：内容同上;</w:t>
            </w:r>
            <w:r>
              <w:rPr>
                <w:rFonts w:hint="eastAsia" w:ascii="仿宋" w:hAnsi="仿宋" w:eastAsia="仿宋" w:cs="仿宋"/>
                <w:sz w:val="21"/>
                <w:szCs w:val="21"/>
              </w:rPr>
              <w:br w:type="textWrapping"/>
            </w:r>
            <w:r>
              <w:rPr>
                <w:rFonts w:hint="eastAsia" w:ascii="仿宋" w:hAnsi="仿宋" w:eastAsia="仿宋" w:cs="仿宋"/>
                <w:sz w:val="21"/>
                <w:szCs w:val="21"/>
              </w:rPr>
              <w:t>2.行政许可决定。</w:t>
            </w:r>
          </w:p>
        </w:tc>
        <w:tc>
          <w:tcPr>
            <w:tcW w:w="770"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《行政许可法》；《政府信息公开条例》</w:t>
            </w:r>
          </w:p>
        </w:tc>
        <w:tc>
          <w:tcPr>
            <w:tcW w:w="45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信息形成或变更之日起20个工作日内公开</w:t>
            </w:r>
          </w:p>
        </w:tc>
        <w:tc>
          <w:tcPr>
            <w:tcW w:w="31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80"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市场准入股</w:t>
            </w:r>
          </w:p>
        </w:tc>
        <w:tc>
          <w:tcPr>
            <w:tcW w:w="421" w:type="pct"/>
            <w:tcBorders>
              <w:top w:val="single" w:color="auto" w:sz="4" w:space="0"/>
              <w:bottom w:val="single" w:color="auto"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192"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6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08"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9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92" w:type="pct"/>
            <w:tcBorders>
              <w:top w:val="single" w:color="auto" w:sz="4" w:space="0"/>
              <w:bottom w:val="single" w:color="auto" w:sz="4" w:space="0"/>
              <w:right w:val="single" w:color="auto"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0352-4010876</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tcBorders>
              <w:top w:val="single" w:color="auto" w:sz="4" w:space="0"/>
              <w:left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5</w:t>
            </w:r>
          </w:p>
        </w:tc>
        <w:tc>
          <w:tcPr>
            <w:tcW w:w="22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w:t>
            </w:r>
            <w:r>
              <w:rPr>
                <w:rFonts w:hint="eastAsia" w:ascii="仿宋" w:hAnsi="仿宋" w:eastAsia="仿宋" w:cs="仿宋"/>
                <w:sz w:val="21"/>
                <w:szCs w:val="21"/>
              </w:rPr>
              <w:br w:type="textWrapping"/>
            </w:r>
            <w:r>
              <w:rPr>
                <w:rFonts w:hint="eastAsia" w:ascii="仿宋" w:hAnsi="仿宋" w:eastAsia="仿宋" w:cs="仿宋"/>
                <w:sz w:val="21"/>
                <w:szCs w:val="21"/>
              </w:rPr>
              <w:t>许可</w:t>
            </w:r>
          </w:p>
        </w:tc>
        <w:tc>
          <w:tcPr>
            <w:tcW w:w="41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县级文物保护单位实施原址保护措施审批</w:t>
            </w:r>
          </w:p>
        </w:tc>
        <w:tc>
          <w:tcPr>
            <w:tcW w:w="493"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1.办事指南：内容同上;</w:t>
            </w:r>
            <w:r>
              <w:rPr>
                <w:rFonts w:hint="eastAsia" w:ascii="仿宋" w:hAnsi="仿宋" w:eastAsia="仿宋" w:cs="仿宋"/>
                <w:sz w:val="21"/>
                <w:szCs w:val="21"/>
              </w:rPr>
              <w:br w:type="textWrapping"/>
            </w:r>
            <w:r>
              <w:rPr>
                <w:rFonts w:hint="eastAsia" w:ascii="仿宋" w:hAnsi="仿宋" w:eastAsia="仿宋" w:cs="仿宋"/>
                <w:sz w:val="21"/>
                <w:szCs w:val="21"/>
              </w:rPr>
              <w:t>2.行政许可决定。</w:t>
            </w:r>
          </w:p>
        </w:tc>
        <w:tc>
          <w:tcPr>
            <w:tcW w:w="770"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《行政许可法》；《政府信息公开条例》</w:t>
            </w:r>
          </w:p>
        </w:tc>
        <w:tc>
          <w:tcPr>
            <w:tcW w:w="45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信息形成或变更之日起20个工作日内公开</w:t>
            </w:r>
          </w:p>
        </w:tc>
        <w:tc>
          <w:tcPr>
            <w:tcW w:w="31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80"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421" w:type="pct"/>
            <w:tcBorders>
              <w:top w:val="single" w:color="auto" w:sz="4" w:space="0"/>
              <w:bottom w:val="single" w:color="auto"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192"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6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08"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9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92" w:type="pct"/>
            <w:tcBorders>
              <w:top w:val="single" w:color="auto" w:sz="4" w:space="0"/>
              <w:bottom w:val="single" w:color="auto" w:sz="4" w:space="0"/>
              <w:right w:val="single" w:color="auto"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0352-4010876</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tcBorders>
              <w:top w:val="single" w:color="auto" w:sz="4" w:space="0"/>
              <w:left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6</w:t>
            </w:r>
          </w:p>
        </w:tc>
        <w:tc>
          <w:tcPr>
            <w:tcW w:w="22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w:t>
            </w:r>
            <w:r>
              <w:rPr>
                <w:rFonts w:hint="eastAsia" w:ascii="仿宋" w:hAnsi="仿宋" w:eastAsia="仿宋" w:cs="仿宋"/>
                <w:sz w:val="21"/>
                <w:szCs w:val="21"/>
              </w:rPr>
              <w:br w:type="textWrapping"/>
            </w:r>
            <w:r>
              <w:rPr>
                <w:rFonts w:hint="eastAsia" w:ascii="仿宋" w:hAnsi="仿宋" w:eastAsia="仿宋" w:cs="仿宋"/>
                <w:sz w:val="21"/>
                <w:szCs w:val="21"/>
              </w:rPr>
              <w:t>许可</w:t>
            </w:r>
          </w:p>
        </w:tc>
        <w:tc>
          <w:tcPr>
            <w:tcW w:w="41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县级文物保护单位和未核定为文物保护单位的不可移动文物修缮审批</w:t>
            </w:r>
          </w:p>
        </w:tc>
        <w:tc>
          <w:tcPr>
            <w:tcW w:w="493"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1.办事指南：内容同上;</w:t>
            </w:r>
            <w:r>
              <w:rPr>
                <w:rFonts w:hint="eastAsia" w:ascii="仿宋" w:hAnsi="仿宋" w:eastAsia="仿宋" w:cs="仿宋"/>
                <w:sz w:val="21"/>
                <w:szCs w:val="21"/>
              </w:rPr>
              <w:br w:type="textWrapping"/>
            </w:r>
            <w:r>
              <w:rPr>
                <w:rFonts w:hint="eastAsia" w:ascii="仿宋" w:hAnsi="仿宋" w:eastAsia="仿宋" w:cs="仿宋"/>
                <w:sz w:val="21"/>
                <w:szCs w:val="21"/>
              </w:rPr>
              <w:t>2.行政许可决定。</w:t>
            </w:r>
          </w:p>
        </w:tc>
        <w:tc>
          <w:tcPr>
            <w:tcW w:w="770"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《行政许可法》；《政府信息公开条例》</w:t>
            </w:r>
          </w:p>
        </w:tc>
        <w:tc>
          <w:tcPr>
            <w:tcW w:w="454" w:type="pct"/>
            <w:tcBorders>
              <w:top w:val="single" w:color="auto" w:sz="4" w:space="0"/>
              <w:bottom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信息形成或变更之日起20个工作日内公开</w:t>
            </w:r>
          </w:p>
        </w:tc>
        <w:tc>
          <w:tcPr>
            <w:tcW w:w="315"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80"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421" w:type="pct"/>
            <w:tcBorders>
              <w:top w:val="single" w:color="auto" w:sz="4" w:space="0"/>
              <w:bottom w:val="single" w:color="auto"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192"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6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08"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96"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bottom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92" w:type="pct"/>
            <w:tcBorders>
              <w:top w:val="single" w:color="auto" w:sz="4" w:space="0"/>
              <w:bottom w:val="single" w:color="auto" w:sz="4" w:space="0"/>
              <w:right w:val="single" w:color="auto"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0352-4010876</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0" w:type="dxa"/>
            <w:bottom w:w="0" w:type="dxa"/>
            <w:right w:w="0" w:type="dxa"/>
          </w:tblCellMar>
        </w:tblPrEx>
        <w:trPr>
          <w:trHeight w:val="23" w:hRule="atLeast"/>
          <w:jc w:val="center"/>
        </w:trPr>
        <w:tc>
          <w:tcPr>
            <w:tcW w:w="209" w:type="pct"/>
            <w:tcBorders>
              <w:top w:val="single" w:color="auto" w:sz="4" w:space="0"/>
              <w:left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7</w:t>
            </w:r>
          </w:p>
        </w:tc>
        <w:tc>
          <w:tcPr>
            <w:tcW w:w="225"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行政</w:t>
            </w:r>
            <w:r>
              <w:rPr>
                <w:rFonts w:hint="eastAsia" w:ascii="仿宋" w:hAnsi="仿宋" w:eastAsia="仿宋" w:cs="仿宋"/>
                <w:sz w:val="21"/>
                <w:szCs w:val="21"/>
              </w:rPr>
              <w:br w:type="textWrapping"/>
            </w:r>
            <w:r>
              <w:rPr>
                <w:rFonts w:hint="eastAsia" w:ascii="仿宋" w:hAnsi="仿宋" w:eastAsia="仿宋" w:cs="仿宋"/>
                <w:sz w:val="21"/>
                <w:szCs w:val="21"/>
              </w:rPr>
              <w:t>许可</w:t>
            </w:r>
          </w:p>
        </w:tc>
        <w:tc>
          <w:tcPr>
            <w:tcW w:w="414" w:type="pct"/>
            <w:tcBorders>
              <w:top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核定为县级文物保护单位的属于国家所有的纪念建筑物或者古建筑改变用途审批</w:t>
            </w:r>
          </w:p>
        </w:tc>
        <w:tc>
          <w:tcPr>
            <w:tcW w:w="493" w:type="pct"/>
            <w:tcBorders>
              <w:top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1.办事指南：内容同上;</w:t>
            </w:r>
            <w:r>
              <w:rPr>
                <w:rFonts w:hint="eastAsia" w:ascii="仿宋" w:hAnsi="仿宋" w:eastAsia="仿宋" w:cs="仿宋"/>
                <w:sz w:val="21"/>
                <w:szCs w:val="21"/>
              </w:rPr>
              <w:br w:type="textWrapping"/>
            </w:r>
            <w:r>
              <w:rPr>
                <w:rFonts w:hint="eastAsia" w:ascii="仿宋" w:hAnsi="仿宋" w:eastAsia="仿宋" w:cs="仿宋"/>
                <w:sz w:val="21"/>
                <w:szCs w:val="21"/>
              </w:rPr>
              <w:t>2.行政许可决定。</w:t>
            </w:r>
          </w:p>
        </w:tc>
        <w:tc>
          <w:tcPr>
            <w:tcW w:w="770" w:type="pct"/>
            <w:tcBorders>
              <w:top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《行政许可法》；《政府信息公开条例》</w:t>
            </w:r>
          </w:p>
        </w:tc>
        <w:tc>
          <w:tcPr>
            <w:tcW w:w="454" w:type="pct"/>
            <w:tcBorders>
              <w:top w:val="single" w:color="auto" w:sz="4" w:space="0"/>
            </w:tcBorders>
            <w:noWrap w:val="0"/>
            <w:tcMar>
              <w:top w:w="15" w:type="dxa"/>
              <w:left w:w="15" w:type="dxa"/>
              <w:right w:w="15" w:type="dxa"/>
            </w:tcMar>
            <w:vAlign w:val="center"/>
          </w:tcPr>
          <w:p>
            <w:pPr>
              <w:spacing w:line="240" w:lineRule="exact"/>
              <w:rPr>
                <w:rFonts w:hint="eastAsia" w:ascii="仿宋" w:hAnsi="仿宋" w:eastAsia="仿宋" w:cs="仿宋"/>
                <w:sz w:val="21"/>
                <w:szCs w:val="21"/>
              </w:rPr>
            </w:pPr>
            <w:r>
              <w:rPr>
                <w:rFonts w:hint="eastAsia" w:ascii="仿宋" w:hAnsi="仿宋" w:eastAsia="仿宋" w:cs="仿宋"/>
                <w:sz w:val="21"/>
                <w:szCs w:val="21"/>
              </w:rPr>
              <w:t>信息形成或变更之日起20个工作日内公开</w:t>
            </w:r>
          </w:p>
        </w:tc>
        <w:tc>
          <w:tcPr>
            <w:tcW w:w="315"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云冈区行政审批服务管理局</w:t>
            </w:r>
          </w:p>
        </w:tc>
        <w:tc>
          <w:tcPr>
            <w:tcW w:w="280"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民生事务股</w:t>
            </w:r>
          </w:p>
        </w:tc>
        <w:tc>
          <w:tcPr>
            <w:tcW w:w="421" w:type="pct"/>
            <w:tcBorders>
              <w:top w:val="single" w:color="auto" w:sz="4" w:space="0"/>
            </w:tcBorders>
            <w:noWrap w:val="0"/>
            <w:tcMar>
              <w:top w:w="15" w:type="dxa"/>
              <w:left w:w="15" w:type="dxa"/>
              <w:right w:w="15" w:type="dxa"/>
            </w:tcMar>
            <w:vAlign w:val="center"/>
          </w:tcPr>
          <w:p>
            <w:pPr>
              <w:spacing w:line="240" w:lineRule="exact"/>
              <w:jc w:val="left"/>
              <w:rPr>
                <w:rFonts w:hint="eastAsia" w:ascii="仿宋" w:hAnsi="仿宋" w:eastAsia="仿宋" w:cs="仿宋"/>
                <w:sz w:val="21"/>
                <w:szCs w:val="21"/>
              </w:rPr>
            </w:pPr>
            <w:r>
              <w:rPr>
                <w:rFonts w:hint="eastAsia" w:ascii="仿宋" w:hAnsi="仿宋" w:eastAsia="仿宋" w:cs="仿宋"/>
                <w:sz w:val="21"/>
                <w:szCs w:val="21"/>
              </w:rPr>
              <w:t>■政务服务中心</w:t>
            </w:r>
          </w:p>
        </w:tc>
        <w:tc>
          <w:tcPr>
            <w:tcW w:w="192"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66"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08"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196"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79" w:type="pct"/>
            <w:tcBorders>
              <w:top w:val="single" w:color="auto"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292" w:type="pct"/>
            <w:tcBorders>
              <w:top w:val="single" w:color="auto" w:sz="4" w:space="0"/>
              <w:right w:val="single" w:color="auto" w:sz="4" w:space="0"/>
            </w:tcBorders>
            <w:noWrap/>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0352-4010876</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01C"/>
    <w:rsid w:val="00425030"/>
    <w:rsid w:val="00B2701C"/>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43105621"/>
    <w:rsid w:val="448E4664"/>
    <w:rsid w:val="47E65D8B"/>
    <w:rsid w:val="4BE84679"/>
    <w:rsid w:val="4FA37960"/>
    <w:rsid w:val="527C5CC8"/>
    <w:rsid w:val="55F15DF6"/>
    <w:rsid w:val="568A58EC"/>
    <w:rsid w:val="57127A7F"/>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uiPriority w:val="0"/>
    <w:pPr>
      <w:ind w:left="0" w:leftChars="0"/>
    </w:pPr>
    <w:rPr>
      <w:rFonts w:ascii="仿宋" w:hAnsi="仿宋" w:cs="仿宋"/>
      <w:szCs w:val="28"/>
    </w:rPr>
  </w:style>
  <w:style w:type="paragraph" w:styleId="14">
    <w:name w:val="Plain Text"/>
    <w:basedOn w:val="1"/>
    <w:qFormat/>
    <w:uiPriority w:val="0"/>
    <w:rPr>
      <w:rFonts w:ascii="宋体" w:hAnsi="Courier New"/>
    </w:rPr>
  </w:style>
  <w:style w:type="paragraph" w:styleId="15">
    <w:name w:val="toc 1"/>
    <w:basedOn w:val="1"/>
    <w:next w:val="1"/>
    <w:qFormat/>
    <w:uiPriority w:val="0"/>
    <w:pPr>
      <w:ind w:firstLine="0" w:firstLineChars="0"/>
    </w:pPr>
    <w:rPr>
      <w:rFonts w:ascii="仿宋" w:hAnsi="仿宋" w:cs="仿宋"/>
      <w:b/>
      <w:szCs w:val="28"/>
    </w:rPr>
  </w:style>
  <w:style w:type="paragraph" w:styleId="16">
    <w:name w:val="toc 2"/>
    <w:basedOn w:val="1"/>
    <w:next w:val="1"/>
    <w:qFormat/>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uiPriority w:val="0"/>
    <w:pPr>
      <w:jc w:val="center"/>
    </w:pPr>
    <w:rPr>
      <w:rFonts w:ascii="仿宋" w:hAnsi="仿宋" w:eastAsia="仿宋" w:cstheme="minorBidi"/>
      <w:sz w:val="36"/>
    </w:rPr>
  </w:style>
  <w:style w:type="paragraph" w:customStyle="1" w:styleId="29">
    <w:name w:val="封面-投标文件"/>
    <w:basedOn w:val="14"/>
    <w:next w:val="14"/>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2020-12-17T03:42:00Z</dcterms:created>
  <dc:creator>恍若゛隔世い</dc:creator>
  <cp:lastModifiedBy>恍若゛隔世い</cp:lastModifiedBy>
  <dcterms:modified xsi:type="dcterms:W3CDTF">2020-12-17T03:42:34Z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