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eastAsia"/>
        </w:rPr>
      </w:pPr>
      <w:r>
        <w:rPr>
          <w:rFonts w:hint="eastAsia"/>
          <w:lang w:eastAsia="zh-CN"/>
        </w:rPr>
        <w:t>云冈区社保</w:t>
      </w:r>
      <w:r>
        <w:rPr>
          <w:rFonts w:hint="eastAsia"/>
        </w:rPr>
        <w:t>领域基层政务公开标准目录</w:t>
      </w:r>
      <w:bookmarkStart w:id="0" w:name="_GoBack"/>
      <w:bookmarkEnd w:id="0"/>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7" w:type="dxa"/>
          <w:bottom w:w="0" w:type="dxa"/>
          <w:right w:w="17" w:type="dxa"/>
        </w:tblCellMar>
      </w:tblPr>
      <w:tblGrid>
        <w:gridCol w:w="370"/>
        <w:gridCol w:w="473"/>
        <w:gridCol w:w="770"/>
        <w:gridCol w:w="2117"/>
        <w:gridCol w:w="1473"/>
        <w:gridCol w:w="1604"/>
        <w:gridCol w:w="569"/>
        <w:gridCol w:w="781"/>
        <w:gridCol w:w="1540"/>
        <w:gridCol w:w="487"/>
        <w:gridCol w:w="515"/>
        <w:gridCol w:w="445"/>
        <w:gridCol w:w="709"/>
        <w:gridCol w:w="292"/>
        <w:gridCol w:w="544"/>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r>
              <w:rPr>
                <w:rFonts w:hint="eastAsia" w:ascii="黑体" w:hAnsi="黑体" w:eastAsia="黑体" w:cs="黑体"/>
                <w:b/>
                <w:color w:val="000000"/>
                <w:kern w:val="0"/>
                <w:sz w:val="22"/>
                <w:szCs w:val="22"/>
                <w:lang w:bidi="ar"/>
              </w:rPr>
              <w:t>序号</w:t>
            </w:r>
          </w:p>
        </w:tc>
        <w:tc>
          <w:tcPr>
            <w:tcW w:w="462" w:type="pct"/>
            <w:gridSpan w:val="2"/>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公开事项</w:t>
            </w:r>
          </w:p>
        </w:tc>
        <w:tc>
          <w:tcPr>
            <w:tcW w:w="765"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r>
              <w:rPr>
                <w:rFonts w:hint="eastAsia" w:ascii="黑体" w:hAnsi="黑体" w:eastAsia="黑体" w:cs="黑体"/>
                <w:b/>
                <w:color w:val="000000"/>
                <w:kern w:val="0"/>
                <w:sz w:val="22"/>
                <w:szCs w:val="22"/>
                <w:lang w:bidi="ar"/>
              </w:rPr>
              <w:t>公开内容（要素）</w:t>
            </w:r>
          </w:p>
        </w:tc>
        <w:tc>
          <w:tcPr>
            <w:tcW w:w="535"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r>
              <w:rPr>
                <w:rFonts w:hint="eastAsia" w:ascii="黑体" w:hAnsi="黑体" w:eastAsia="黑体" w:cs="黑体"/>
                <w:b/>
                <w:color w:val="000000"/>
                <w:kern w:val="0"/>
                <w:sz w:val="22"/>
                <w:szCs w:val="22"/>
                <w:lang w:bidi="ar"/>
              </w:rPr>
              <w:t>公开依据</w:t>
            </w:r>
          </w:p>
        </w:tc>
        <w:tc>
          <w:tcPr>
            <w:tcW w:w="582"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r>
              <w:rPr>
                <w:rFonts w:hint="eastAsia" w:ascii="黑体" w:hAnsi="黑体" w:eastAsia="黑体" w:cs="黑体"/>
                <w:b/>
                <w:color w:val="000000"/>
                <w:kern w:val="0"/>
                <w:sz w:val="22"/>
                <w:szCs w:val="22"/>
                <w:lang w:bidi="ar"/>
              </w:rPr>
              <w:t>公开时限</w:t>
            </w:r>
          </w:p>
        </w:tc>
        <w:tc>
          <w:tcPr>
            <w:tcW w:w="212"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r>
              <w:rPr>
                <w:rFonts w:hint="eastAsia" w:ascii="黑体" w:hAnsi="黑体" w:eastAsia="黑体" w:cs="黑体"/>
                <w:b/>
                <w:color w:val="000000"/>
                <w:kern w:val="0"/>
                <w:sz w:val="22"/>
                <w:szCs w:val="22"/>
                <w:lang w:bidi="ar"/>
              </w:rPr>
              <w:t>公开主体</w:t>
            </w:r>
          </w:p>
        </w:tc>
        <w:tc>
          <w:tcPr>
            <w:tcW w:w="288"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kern w:val="0"/>
                <w:sz w:val="22"/>
                <w:szCs w:val="22"/>
                <w:lang w:val="en-US" w:eastAsia="zh-CN"/>
              </w:rPr>
            </w:pPr>
            <w:r>
              <w:rPr>
                <w:rFonts w:hint="eastAsia" w:ascii="黑体" w:hAnsi="黑体" w:eastAsia="黑体" w:cs="黑体"/>
                <w:b/>
                <w:color w:val="000000"/>
                <w:kern w:val="0"/>
                <w:sz w:val="22"/>
                <w:szCs w:val="22"/>
                <w:lang w:bidi="ar"/>
              </w:rPr>
              <w:t>责任股（室）</w:t>
            </w:r>
          </w:p>
        </w:tc>
        <w:tc>
          <w:tcPr>
            <w:tcW w:w="559"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公开渠道和载体</w:t>
            </w:r>
          </w:p>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kern w:val="0"/>
                <w:sz w:val="22"/>
                <w:szCs w:val="22"/>
              </w:rPr>
            </w:pPr>
          </w:p>
        </w:tc>
        <w:tc>
          <w:tcPr>
            <w:tcW w:w="376" w:type="pct"/>
            <w:gridSpan w:val="2"/>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公开对象</w:t>
            </w:r>
          </w:p>
        </w:tc>
        <w:tc>
          <w:tcPr>
            <w:tcW w:w="430" w:type="pct"/>
            <w:gridSpan w:val="2"/>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公开方式</w:t>
            </w:r>
          </w:p>
        </w:tc>
        <w:tc>
          <w:tcPr>
            <w:tcW w:w="316" w:type="pct"/>
            <w:gridSpan w:val="2"/>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公开层级</w:t>
            </w:r>
          </w:p>
        </w:tc>
        <w:tc>
          <w:tcPr>
            <w:tcW w:w="329" w:type="pct"/>
            <w:vMerge w:val="restart"/>
            <w:noWrap w:val="0"/>
            <w:vAlign w:val="center"/>
          </w:tcPr>
          <w:p>
            <w:pPr>
              <w:keepNext w:val="0"/>
              <w:keepLines w:val="0"/>
              <w:pageBreakBefore w:val="0"/>
              <w:widowControl/>
              <w:kinsoku/>
              <w:wordWrap/>
              <w:overflowPunct/>
              <w:topLinePunct w:val="0"/>
              <w:autoSpaceDE/>
              <w:autoSpaceDN/>
              <w:bidi w:val="0"/>
              <w:adjustRightInd/>
              <w:snapToGrid/>
              <w:jc w:val="center"/>
              <w:rPr>
                <w:rFonts w:hint="default" w:ascii="黑体" w:hAnsi="宋体" w:eastAsia="黑体" w:cs="宋体"/>
                <w:color w:val="000000"/>
                <w:kern w:val="0"/>
                <w:sz w:val="22"/>
                <w:szCs w:val="22"/>
                <w:lang w:val="en-US" w:eastAsia="zh-CN"/>
              </w:rPr>
            </w:pPr>
            <w:r>
              <w:rPr>
                <w:rFonts w:hint="eastAsia" w:ascii="黑体" w:hAnsi="宋体" w:eastAsia="黑体" w:cs="宋体"/>
                <w:b/>
                <w:bCs/>
                <w:color w:val="000000"/>
                <w:kern w:val="0"/>
                <w:sz w:val="22"/>
                <w:szCs w:val="22"/>
                <w:lang w:val="en-US" w:eastAsia="zh-CN"/>
              </w:rPr>
              <w:t>咨询及监督电话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p>
        </w:tc>
        <w:tc>
          <w:tcPr>
            <w:tcW w:w="178"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一级事项</w:t>
            </w:r>
          </w:p>
        </w:tc>
        <w:tc>
          <w:tcPr>
            <w:tcW w:w="283"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二级事项</w:t>
            </w:r>
          </w:p>
        </w:tc>
        <w:tc>
          <w:tcPr>
            <w:tcW w:w="765"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p>
        </w:tc>
        <w:tc>
          <w:tcPr>
            <w:tcW w:w="535"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p>
        </w:tc>
        <w:tc>
          <w:tcPr>
            <w:tcW w:w="582"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p>
        </w:tc>
        <w:tc>
          <w:tcPr>
            <w:tcW w:w="212"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color w:val="000000"/>
                <w:kern w:val="0"/>
                <w:sz w:val="22"/>
                <w:szCs w:val="22"/>
              </w:rPr>
            </w:pPr>
          </w:p>
        </w:tc>
        <w:tc>
          <w:tcPr>
            <w:tcW w:w="288"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kern w:val="0"/>
                <w:sz w:val="22"/>
                <w:szCs w:val="22"/>
              </w:rPr>
            </w:pPr>
          </w:p>
        </w:tc>
        <w:tc>
          <w:tcPr>
            <w:tcW w:w="559"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eastAsia" w:ascii="黑体" w:hAnsi="黑体" w:eastAsia="黑体" w:cs="黑体"/>
                <w:kern w:val="0"/>
                <w:sz w:val="22"/>
                <w:szCs w:val="22"/>
              </w:rPr>
            </w:pPr>
          </w:p>
        </w:tc>
        <w:tc>
          <w:tcPr>
            <w:tcW w:w="183"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全社会</w:t>
            </w:r>
          </w:p>
        </w:tc>
        <w:tc>
          <w:tcPr>
            <w:tcW w:w="193"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特定群众</w:t>
            </w:r>
          </w:p>
        </w:tc>
        <w:tc>
          <w:tcPr>
            <w:tcW w:w="168"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主动</w:t>
            </w:r>
          </w:p>
        </w:tc>
        <w:tc>
          <w:tcPr>
            <w:tcW w:w="262"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依申请公开</w:t>
            </w:r>
          </w:p>
        </w:tc>
        <w:tc>
          <w:tcPr>
            <w:tcW w:w="113"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县级</w:t>
            </w:r>
          </w:p>
        </w:tc>
        <w:tc>
          <w:tcPr>
            <w:tcW w:w="202"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eastAsia" w:ascii="黑体" w:hAnsi="黑体" w:eastAsia="黑体" w:cs="黑体"/>
                <w:b/>
                <w:color w:val="000000"/>
                <w:kern w:val="2"/>
                <w:sz w:val="22"/>
                <w:szCs w:val="22"/>
                <w:lang w:val="en-US" w:eastAsia="zh-CN" w:bidi="ar-SA"/>
              </w:rPr>
            </w:pPr>
            <w:r>
              <w:rPr>
                <w:rFonts w:hint="eastAsia" w:ascii="黑体" w:hAnsi="黑体" w:eastAsia="黑体" w:cs="黑体"/>
                <w:b/>
                <w:color w:val="000000"/>
                <w:kern w:val="0"/>
                <w:sz w:val="22"/>
                <w:szCs w:val="22"/>
                <w:lang w:bidi="ar"/>
              </w:rPr>
              <w:t>乡、村级</w:t>
            </w:r>
          </w:p>
        </w:tc>
        <w:tc>
          <w:tcPr>
            <w:tcW w:w="329" w:type="pct"/>
            <w:vMerge w:val="continue"/>
            <w:noWrap w:val="0"/>
            <w:vAlign w:val="center"/>
          </w:tcPr>
          <w:p>
            <w:pPr>
              <w:keepNext w:val="0"/>
              <w:keepLines w:val="0"/>
              <w:pageBreakBefore w:val="0"/>
              <w:widowControl/>
              <w:kinsoku/>
              <w:wordWrap/>
              <w:overflowPunct/>
              <w:topLinePunct w:val="0"/>
              <w:autoSpaceDE/>
              <w:autoSpaceDN/>
              <w:bidi w:val="0"/>
              <w:adjustRightInd/>
              <w:snapToGrid/>
              <w:jc w:val="center"/>
              <w:rPr>
                <w:rFonts w:hint="default" w:ascii="黑体" w:hAnsi="宋体" w:eastAsia="黑体" w:cs="宋体"/>
                <w:color w:val="000000"/>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1</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社会保险登记社会保障卡服务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机关事业单位社会保险登记</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、《国务院关于机关事业单位工作人员养老保险制度改革的决定》</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公开事项信息形成或变更之日起20个工作日内公开</w:t>
            </w: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养老保险管理中心 征缴股</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政府门户网站、政务新媒体、广播、电视、报纸、公示栏等平台和办事大厅、便民服务窗口等场所</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0352-4010883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工程建设项目办理工伤保险参保登记</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、《社会保险费征缴暂行条例》</w:t>
            </w: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工伤保险管理中心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0352-4506007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3</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社会保险登记</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参保单位注销</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、《社会保险费征缴暂行条例》</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4</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职工参保登记</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城乡居民养老保险参保登记</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2"/>
                <w:sz w:val="21"/>
                <w:szCs w:val="21"/>
                <w:lang w:val="en-US" w:eastAsia="zh-CN" w:bidi="ar-SA"/>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新型农村养老保险管理中心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0352-4041399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6</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社会保险参保信息维护</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单位（项目）基本信息变更</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、《社会保险费征缴暂行条例》</w:t>
            </w: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7</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个人基本信息变更</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8</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社会保险参保信息维护</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养老保险待遇发放账户维护申请</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、《社会保险费征缴暂行条例》</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工伤保险待遇发放账户维护申请</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工伤保险管理中心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10</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失业保险待遇发放账户维护申请</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失业保险管理中心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11</w:t>
            </w:r>
          </w:p>
        </w:tc>
        <w:tc>
          <w:tcPr>
            <w:tcW w:w="17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社会保险缴费申报</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缴费人员增减申报</w:t>
            </w:r>
          </w:p>
        </w:tc>
        <w:tc>
          <w:tcPr>
            <w:tcW w:w="765" w:type="pc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、《社会保险费征缴暂行条例》</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12</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社会保险缴费申报</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社会保险缴费申报与变更</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、《社会保险费征缴暂行条例》</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社会保险费延缴申请</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14</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社会保险费欠费补缴申报</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15</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社会保险参保缴费记录查询</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单位参保证明查询打印</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、《社会保险费征缴暂行条例》</w:t>
            </w: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16</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个人权益记录查询打印</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17</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养老保险服务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职工正常退休(职)申请</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、《劳动保险条例》</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18</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仿宋" w:hAnsi="仿宋" w:eastAsia="仿宋" w:cs="仿宋"/>
                <w:i w:val="0"/>
                <w:color w:val="000000"/>
                <w:kern w:val="2"/>
                <w:sz w:val="21"/>
                <w:szCs w:val="21"/>
                <w:u w:val="none"/>
                <w:lang w:val="en-US" w:eastAsia="zh-CN" w:bidi="ar-SA"/>
              </w:rPr>
            </w:pPr>
            <w:r>
              <w:rPr>
                <w:rFonts w:hint="eastAsia" w:ascii="仿宋" w:hAnsi="仿宋" w:eastAsia="仿宋" w:cs="仿宋"/>
                <w:color w:val="000000"/>
                <w:sz w:val="21"/>
                <w:szCs w:val="21"/>
                <w:lang w:val="en-US" w:eastAsia="zh-CN"/>
              </w:rPr>
              <w:t>城乡居民养老保险待遇申领</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新型农村养老保险管理服务中心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0352-4041399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19</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暂停养老保险待遇申请</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20</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恢复养老保险待遇申请</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21</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个人账户一次性待遇申领</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22</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丧葬补助金、抚恤金申领</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23</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养老保险服务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居民养老保险注销登记</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、《劳动保险条例》</w:t>
            </w: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新型农村养老保险管理服务中心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0352-4041399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24</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遗属待遇申领</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26</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城镇职工基本养老保险关系转移接续申请</w:t>
            </w:r>
          </w:p>
        </w:tc>
        <w:tc>
          <w:tcPr>
            <w:tcW w:w="765" w:type="pc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、《国务院办公厅关于转发人力资源社会保障部财政部城镇企业职工基本养老保险关系转移接续暂行办法的通知》</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27</w:t>
            </w:r>
          </w:p>
        </w:tc>
        <w:tc>
          <w:tcPr>
            <w:tcW w:w="17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养老保险服务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机关事业单位养老保险关系转移接续申请</w:t>
            </w:r>
          </w:p>
        </w:tc>
        <w:tc>
          <w:tcPr>
            <w:tcW w:w="765" w:type="pc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、《人力资源社会保障部财政部关于机关事业单位基本养老保险关系和职业年金转移接续有关问题的通知》</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养老保险管理中心征缴股</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0"/>
                <w:sz w:val="21"/>
                <w:szCs w:val="21"/>
                <w:lang w:bidi="ar"/>
              </w:rPr>
              <w:t>政府门户网站、政务新媒体、广播、电视、报纸、公示栏等平台和办事大厅、便民服务窗口等场所</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4010883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28</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养老保险服务</w:t>
            </w:r>
          </w:p>
        </w:tc>
        <w:tc>
          <w:tcPr>
            <w:tcW w:w="2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仿宋" w:hAnsi="仿宋" w:eastAsia="仿宋" w:cs="仿宋"/>
                <w:i w:val="0"/>
                <w:color w:val="000000"/>
                <w:kern w:val="2"/>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城乡居民基本养老保险关系转移接续申请</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仿宋" w:hAnsi="仿宋" w:eastAsia="仿宋" w:cs="仿宋"/>
                <w:i w:val="0"/>
                <w:color w:val="000000"/>
                <w:kern w:val="2"/>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《政府信息公开条例》、《中华人民共和国社会保险法》、《社会保险费征缴暂行条例》</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新型农村养老保险管理中心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0352-4041399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29</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机关事业单位基本养老保险与城镇企业职工基本养老保险互转申请</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、《人力资源社会保障部财政部关于机关事业单位基本养老保险关系和职业年金转移接续有关问题的通知》</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30</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仿宋" w:hAnsi="仿宋" w:eastAsia="仿宋" w:cs="仿宋"/>
                <w:i w:val="0"/>
                <w:color w:val="000000"/>
                <w:kern w:val="2"/>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 xml:space="preserve">城镇职工基本养老保险与城乡居民基本养老保险制度衔接申请  </w:t>
            </w:r>
          </w:p>
        </w:tc>
        <w:tc>
          <w:tcPr>
            <w:tcW w:w="765"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仿宋" w:hAnsi="仿宋" w:eastAsia="仿宋" w:cs="仿宋"/>
                <w:i w:val="0"/>
                <w:color w:val="000000"/>
                <w:kern w:val="2"/>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《政府信息公开条例》、《中华人民共和国社会保险法》、《社会保险费征缴暂行条例》</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新型农村养老保险管理中心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0352-4041399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31</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养老保险服务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军地养老保险关系转移接续申请</w:t>
            </w:r>
          </w:p>
        </w:tc>
        <w:tc>
          <w:tcPr>
            <w:tcW w:w="765" w:type="pc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、《人力资源社会保障部财政部总参谋部总政治部总后勤部关于军人退役基本养老保险关系转移接续有关问题的通知》</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32</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多重养老保险关系个人账户退费</w:t>
            </w:r>
          </w:p>
        </w:tc>
        <w:tc>
          <w:tcPr>
            <w:tcW w:w="765" w:type="pc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、《人力资源和社会保障部＜关于贯彻落实国务院办公厅转发城镇企业职工基本养老保险关系转移接续暂行办法的通知》</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人力资源社会保障部门</w:t>
            </w:r>
          </w:p>
        </w:tc>
        <w:tc>
          <w:tcPr>
            <w:tcW w:w="28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企业养老保险管理中 心</w:t>
            </w:r>
          </w:p>
        </w:tc>
        <w:tc>
          <w:tcPr>
            <w:tcW w:w="559"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0352-4010862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33</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工伤保险服务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工伤医疗（康复）费用申报</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、《工伤保险条例》</w:t>
            </w: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人力资源社会保障部门</w:t>
            </w:r>
          </w:p>
        </w:tc>
        <w:tc>
          <w:tcPr>
            <w:tcW w:w="28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工伤保险管理中心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0352-4506007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34</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住院伙食补助费申领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35</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统筹地区以外交通、食宿费申领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36</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一次性工伤医疗补助金申请</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37</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辅助器具配置（更换）费用申报</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38</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伤残待遇申领（一次性伤残补助金、伤残津贴和生活护理费）</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38</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一次性工亡补助金（含生活困难，预支50%确认）、丧葬补助金申领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39</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供养亲属抚恤金申领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40</w:t>
            </w:r>
          </w:p>
        </w:tc>
        <w:tc>
          <w:tcPr>
            <w:tcW w:w="17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工伤保险待遇变更</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41</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失业保险服务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失业保险金申领</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、《失业保险条例》</w:t>
            </w: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公开事项信息形成或变更之日起20个工作日内公开</w:t>
            </w: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人力资源社会保障部门</w:t>
            </w:r>
          </w:p>
        </w:tc>
        <w:tc>
          <w:tcPr>
            <w:tcW w:w="28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失业保险管理中心</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42</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丧葬补助金和抚恤金申领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43</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职业培训补贴申领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44</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职业介绍补贴申领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45</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农民合同制工人一次性生活补助申领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46</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代缴基本医疗保险费</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47</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价格临时补贴申领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48</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失业保险关系转移接续</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49</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稳岗补贴申领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50</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技能提升补贴申领</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51</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东部7省（市）扩大支出试点项目</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52</w:t>
            </w:r>
          </w:p>
        </w:tc>
        <w:tc>
          <w:tcPr>
            <w:tcW w:w="17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社会保障卡服务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社会保障卡服务</w:t>
            </w: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社会保障卡申领</w:t>
            </w:r>
          </w:p>
        </w:tc>
        <w:tc>
          <w:tcPr>
            <w:tcW w:w="765" w:type="pc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、《人力资源和社会保障部关于印发“中华人民共和国社会保障卡”管理办法的通知》</w:t>
            </w:r>
          </w:p>
        </w:tc>
        <w:tc>
          <w:tcPr>
            <w:tcW w:w="582"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公开事项信息形成或变更之日起20个工作日内公开</w:t>
            </w:r>
          </w:p>
        </w:tc>
        <w:tc>
          <w:tcPr>
            <w:tcW w:w="21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人力资源社会保障部门</w:t>
            </w:r>
          </w:p>
        </w:tc>
        <w:tc>
          <w:tcPr>
            <w:tcW w:w="288"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政务社保卡窗口</w:t>
            </w:r>
          </w:p>
        </w:tc>
        <w:tc>
          <w:tcPr>
            <w:tcW w:w="559"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 xml:space="preserve">■政府网站    </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■政务服务中心</w:t>
            </w:r>
            <w:r>
              <w:rPr>
                <w:rFonts w:hint="eastAsia" w:ascii="仿宋" w:hAnsi="仿宋" w:eastAsia="仿宋" w:cs="仿宋"/>
                <w:color w:val="000000"/>
                <w:sz w:val="21"/>
                <w:szCs w:val="21"/>
              </w:rPr>
              <w:br w:type="textWrapping"/>
            </w:r>
            <w:r>
              <w:rPr>
                <w:rFonts w:hint="eastAsia" w:ascii="仿宋" w:hAnsi="仿宋" w:eastAsia="仿宋" w:cs="仿宋"/>
                <w:color w:val="000000"/>
                <w:sz w:val="21"/>
                <w:szCs w:val="21"/>
              </w:rPr>
              <w:t>■基层公共服务平台</w:t>
            </w: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53</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社会保障卡启用（含社会保障卡银行账户激活）</w:t>
            </w:r>
          </w:p>
        </w:tc>
        <w:tc>
          <w:tcPr>
            <w:tcW w:w="765"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54</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社会保障卡应用状态查询</w:t>
            </w:r>
          </w:p>
        </w:tc>
        <w:tc>
          <w:tcPr>
            <w:tcW w:w="765"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55</w:t>
            </w:r>
          </w:p>
        </w:tc>
        <w:tc>
          <w:tcPr>
            <w:tcW w:w="17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社会保障卡信息变更（非关键信息）</w:t>
            </w:r>
          </w:p>
        </w:tc>
        <w:tc>
          <w:tcPr>
            <w:tcW w:w="76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事项名称、事项简述、办理材料、办理方式、办理时限、结果送达、收费依据及标准、办事时间、办理机构及地点、咨询查询途径、监督投诉渠道</w:t>
            </w:r>
          </w:p>
        </w:tc>
        <w:tc>
          <w:tcPr>
            <w:tcW w:w="535"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《政府信息公开条例》、</w:t>
            </w:r>
            <w:r>
              <w:rPr>
                <w:rFonts w:hint="eastAsia" w:ascii="仿宋" w:hAnsi="仿宋" w:eastAsia="仿宋" w:cs="仿宋"/>
                <w:color w:val="000000"/>
                <w:sz w:val="21"/>
                <w:szCs w:val="21"/>
                <w:lang w:eastAsia="zh-CN"/>
              </w:rPr>
              <w:t>《中华人民共和国社会保险法》</w:t>
            </w:r>
            <w:r>
              <w:rPr>
                <w:rFonts w:hint="eastAsia" w:ascii="仿宋" w:hAnsi="仿宋" w:eastAsia="仿宋" w:cs="仿宋"/>
                <w:color w:val="000000"/>
                <w:sz w:val="21"/>
                <w:szCs w:val="21"/>
              </w:rPr>
              <w:t>、《人力资源和社会保障部关于印发“中华人民共和国社会保障卡”管理办法的通知》</w:t>
            </w:r>
          </w:p>
        </w:tc>
        <w:tc>
          <w:tcPr>
            <w:tcW w:w="58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公开事项信息形成或变更之日起20个工作日内公开</w:t>
            </w: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75</w:t>
            </w:r>
          </w:p>
        </w:tc>
        <w:tc>
          <w:tcPr>
            <w:tcW w:w="178"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社会保障卡密码修改与重置</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76</w:t>
            </w:r>
          </w:p>
        </w:tc>
        <w:tc>
          <w:tcPr>
            <w:tcW w:w="17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社会保障卡挂失与解挂</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77</w:t>
            </w:r>
          </w:p>
        </w:tc>
        <w:tc>
          <w:tcPr>
            <w:tcW w:w="17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社会保障卡补换、换领、换发</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cantSplit/>
          <w:trHeight w:val="23" w:hRule="atLeast"/>
        </w:trPr>
        <w:tc>
          <w:tcPr>
            <w:tcW w:w="141"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78</w:t>
            </w:r>
          </w:p>
        </w:tc>
        <w:tc>
          <w:tcPr>
            <w:tcW w:w="178"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3" w:type="pct"/>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社会保障卡注销</w:t>
            </w:r>
          </w:p>
        </w:tc>
        <w:tc>
          <w:tcPr>
            <w:tcW w:w="76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35"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58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12"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288"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c>
          <w:tcPr>
            <w:tcW w:w="559" w:type="pct"/>
            <w:vMerge w:val="continue"/>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rPr>
            </w:pPr>
          </w:p>
        </w:tc>
        <w:tc>
          <w:tcPr>
            <w:tcW w:w="18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19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68"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6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　</w:t>
            </w:r>
          </w:p>
        </w:tc>
        <w:tc>
          <w:tcPr>
            <w:tcW w:w="113"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202" w:type="pct"/>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w:t>
            </w:r>
          </w:p>
        </w:tc>
        <w:tc>
          <w:tcPr>
            <w:tcW w:w="329" w:type="pct"/>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sz w:val="21"/>
                <w:szCs w:val="21"/>
                <w:lang w:val="en-US" w:eastAsia="zh-CN"/>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654BBC"/>
    <w:rsid w:val="00425030"/>
    <w:rsid w:val="00CF7E60"/>
    <w:rsid w:val="020F6C21"/>
    <w:rsid w:val="06776DEB"/>
    <w:rsid w:val="069D2271"/>
    <w:rsid w:val="0973178D"/>
    <w:rsid w:val="0D26449A"/>
    <w:rsid w:val="0D951179"/>
    <w:rsid w:val="0DE26E74"/>
    <w:rsid w:val="10814AD9"/>
    <w:rsid w:val="111C128B"/>
    <w:rsid w:val="11654BBC"/>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FA37960"/>
    <w:rsid w:val="527C5CC8"/>
    <w:rsid w:val="55F15DF6"/>
    <w:rsid w:val="568A58EC"/>
    <w:rsid w:val="57127A7F"/>
    <w:rsid w:val="5E7231EC"/>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uiPriority w:val="0"/>
    <w:pPr>
      <w:ind w:firstLine="0" w:firstLineChars="0"/>
    </w:pPr>
    <w:rPr>
      <w:rFonts w:ascii="仿宋" w:hAnsi="仿宋" w:cs="仿宋"/>
      <w:b/>
      <w:szCs w:val="28"/>
    </w:rPr>
  </w:style>
  <w:style w:type="paragraph" w:styleId="16">
    <w:name w:val="toc 2"/>
    <w:basedOn w:val="1"/>
    <w:next w:val="1"/>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uiPriority w:val="0"/>
    <w:rPr>
      <w:rFonts w:ascii="仿宋" w:hAnsi="仿宋"/>
      <w:sz w:val="44"/>
    </w:rPr>
  </w:style>
  <w:style w:type="paragraph" w:customStyle="1" w:styleId="27">
    <w:name w:val="封面-项目名称"/>
    <w:basedOn w:val="14"/>
    <w:next w:val="14"/>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uiPriority w:val="0"/>
    <w:pPr>
      <w:ind w:firstLine="0" w:firstLineChars="0"/>
      <w:jc w:val="center"/>
    </w:pPr>
    <w:rPr>
      <w:rFonts w:hAnsi="宋体" w:cs="仿宋"/>
      <w:b/>
      <w:sz w:val="84"/>
      <w:szCs w:val="28"/>
    </w:rPr>
  </w:style>
  <w:style w:type="paragraph" w:customStyle="1" w:styleId="30">
    <w:name w:val="封面-公司名称地址"/>
    <w:basedOn w:val="14"/>
    <w:next w:val="14"/>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2020-12-17T03:37:00Z</dcterms:created>
  <dc:creator>恍若゛隔世い</dc:creator>
  <cp:lastModifiedBy>恍若゛隔世い</cp:lastModifiedBy>
  <dcterms:modified xsi:type="dcterms:W3CDTF">2022-06-14T08:15:15Z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