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bidi w:val="0"/>
        <w:ind w:leftChars="0"/>
        <w:jc w:val="center"/>
        <w:rPr>
          <w:rFonts w:hint="default"/>
          <w:lang w:val="en-US" w:eastAsia="zh-CN"/>
        </w:rPr>
      </w:pPr>
      <w:bookmarkStart w:id="0" w:name="_Toc31808"/>
      <w:r>
        <w:rPr>
          <w:rFonts w:hint="eastAsia"/>
          <w:lang w:eastAsia="zh-CN"/>
        </w:rPr>
        <w:t>云冈区</w:t>
      </w:r>
      <w:r>
        <w:rPr>
          <w:rFonts w:hint="eastAsia"/>
          <w:lang w:val="en-US" w:eastAsia="zh-CN"/>
        </w:rPr>
        <w:t>财政预决算</w:t>
      </w:r>
      <w:r>
        <w:rPr>
          <w:rFonts w:hint="eastAsia"/>
        </w:rPr>
        <w:t>领域基层政务公开标准目录</w:t>
      </w:r>
      <w:bookmarkEnd w:id="0"/>
    </w:p>
    <w:tbl>
      <w:tblPr>
        <w:tblStyle w:val="22"/>
        <w:tblW w:w="15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"/>
        <w:gridCol w:w="791"/>
        <w:gridCol w:w="720"/>
        <w:gridCol w:w="4308"/>
        <w:gridCol w:w="1476"/>
        <w:gridCol w:w="816"/>
        <w:gridCol w:w="696"/>
        <w:gridCol w:w="648"/>
        <w:gridCol w:w="936"/>
        <w:gridCol w:w="600"/>
        <w:gridCol w:w="688"/>
        <w:gridCol w:w="450"/>
        <w:gridCol w:w="674"/>
        <w:gridCol w:w="504"/>
        <w:gridCol w:w="684"/>
        <w:gridCol w:w="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</w:pPr>
            <w:bookmarkStart w:id="1" w:name="_Toc24724711"/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430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4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8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6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lang w:val="en-US" w:eastAsia="zh-CN"/>
              </w:rPr>
              <w:t>责任股室</w:t>
            </w:r>
          </w:p>
        </w:tc>
        <w:tc>
          <w:tcPr>
            <w:tcW w:w="9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</w:rPr>
              <w:t>公开渠道和载体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1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  <w:t>公开层级</w:t>
            </w:r>
          </w:p>
        </w:tc>
        <w:tc>
          <w:tcPr>
            <w:tcW w:w="7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咨询及监督电话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hAnsi="宋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hAnsi="宋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430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hAnsi="宋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hAnsi="宋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hAnsi="宋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hAnsi="宋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hAnsi="宋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hAnsi="宋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乡、村级</w:t>
            </w: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7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政府预算</w:t>
            </w: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一般公共预算：①一般公共预算收入表。②一般公共预算支出表。③一般公共预算本级支出表。④一般公共预算本级基本支出表。⑤一般公共预算税收返还和转移支付表。⑥政府一般债务限额和余额情况表。</w:t>
            </w:r>
          </w:p>
        </w:tc>
        <w:tc>
          <w:tcPr>
            <w:tcW w:w="14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《预算法》、《政府信息公开条例》、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、《财政部关于印发&lt;地方政府债务信息公开办法（试行）&gt;的通知》等法律法规和文件规定</w:t>
            </w:r>
          </w:p>
        </w:tc>
        <w:tc>
          <w:tcPr>
            <w:tcW w:w="8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本级人民代表大会或其常务委员会批准后20日内</w:t>
            </w:r>
          </w:p>
        </w:tc>
        <w:tc>
          <w:tcPr>
            <w:tcW w:w="6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地方各级财政部门</w:t>
            </w:r>
          </w:p>
        </w:tc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预算股</w:t>
            </w:r>
          </w:p>
        </w:tc>
        <w:tc>
          <w:tcPr>
            <w:tcW w:w="9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0352-4051235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政府性基金预算：①政府性基金收入表。②政府性基金支出表。③本级政府性基金支出表。④政府性基金转移支付表。⑤政府专项债务限额和余额情况表。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2</w:t>
            </w:r>
          </w:p>
        </w:tc>
        <w:tc>
          <w:tcPr>
            <w:tcW w:w="7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政府预算</w:t>
            </w: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国有资本经营预算：①国有资本经营预算收入表。②国有资本经营预算支出表。③本级国有资本经营预算支出表。④对下安排转移支付的应当公开国有资本经营预算转移支付表。</w:t>
            </w:r>
          </w:p>
        </w:tc>
        <w:tc>
          <w:tcPr>
            <w:tcW w:w="14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《预算法》、《政府信息公开条例》、</w:t>
            </w:r>
            <w:bookmarkStart w:id="2" w:name="_GoBack"/>
            <w:bookmarkEnd w:id="2"/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、《财政部关于印发&lt;地方政府债务信息公开办法（试行）&gt;的通知》等法律法规和文件规定</w:t>
            </w:r>
          </w:p>
        </w:tc>
        <w:tc>
          <w:tcPr>
            <w:tcW w:w="8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本级人民代表大会或其常务委员会批准后20日内</w:t>
            </w:r>
          </w:p>
        </w:tc>
        <w:tc>
          <w:tcPr>
            <w:tcW w:w="6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地方各级财政部门</w:t>
            </w:r>
          </w:p>
        </w:tc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预算股</w:t>
            </w:r>
          </w:p>
        </w:tc>
        <w:tc>
          <w:tcPr>
            <w:tcW w:w="9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0352-4051235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社会保险基金预算：①社会保险基金收入表。②社会保险基金支出表。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公开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对财政转移支付安排、举借政府债务等重要事项进行解释、说明，并公开重大政策和重点项目等绩效目标。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地方本级汇总的一般公共预算“三公”经费，包括预算总额，以及“因公出国（境）费”“公务用车购置及运行费”（区分“公务用车购置费”“公务用车运行费”两项）、“公务接待费”分项数额，并对增减变化情况进行说明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3</w:t>
            </w:r>
          </w:p>
        </w:tc>
        <w:tc>
          <w:tcPr>
            <w:tcW w:w="7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政府预算</w:t>
            </w: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地方政府债务限额、余额、使用安排及还本付息等信息，包括：①随同预算公开上一年度本地区、本级及所属地区地方政府债务限额及余额（或余额预计执行数），以及本地区和本级上一年度地方政府债券（含再融资债券）发行及还本付息额（或预计执行数）、本年度地方政府债券还本付息预算数等；②随同调整预算公开当年本地区及本级地方政府债务限额、本级新增地方政府债券资金使用安排等。</w:t>
            </w:r>
          </w:p>
        </w:tc>
        <w:tc>
          <w:tcPr>
            <w:tcW w:w="14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《预算法》、《政府信息公开条例》、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、《财政部关于印发&lt;地方政府债务信息公开办法（试行）&gt;的通知》等法律法规和文件规定</w:t>
            </w:r>
          </w:p>
        </w:tc>
        <w:tc>
          <w:tcPr>
            <w:tcW w:w="8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本级人民代表大会或其常务委员会批准后20日内</w:t>
            </w:r>
          </w:p>
        </w:tc>
        <w:tc>
          <w:tcPr>
            <w:tcW w:w="6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地方各级财政部门</w:t>
            </w:r>
          </w:p>
        </w:tc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预算股</w:t>
            </w:r>
          </w:p>
        </w:tc>
        <w:tc>
          <w:tcPr>
            <w:tcW w:w="9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0352-4051235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没有数据的表格应当列出空表并说明。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4</w:t>
            </w:r>
          </w:p>
        </w:tc>
        <w:tc>
          <w:tcPr>
            <w:tcW w:w="7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政府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决算</w:t>
            </w: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一般公共预算：①一般公共预算收入表。②一般公共预算支出表。③一般公共预算本级支出表。④一般公共预算本级基本支出表。⑤一般公共预算税收返还和转移支付表。⑥政府一般债务限额和余额情况表。</w:t>
            </w:r>
          </w:p>
        </w:tc>
        <w:tc>
          <w:tcPr>
            <w:tcW w:w="14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《预算法》、《政府信息公开条例》、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、《财政部关于印发&lt;地方政府债务信息公开办法（试行）&gt;的通知》等法律法规和文件规定</w:t>
            </w:r>
          </w:p>
        </w:tc>
        <w:tc>
          <w:tcPr>
            <w:tcW w:w="8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本级人民代表大会或其常务委员会批准后20日内</w:t>
            </w:r>
          </w:p>
        </w:tc>
        <w:tc>
          <w:tcPr>
            <w:tcW w:w="6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地方各级财政部门</w:t>
            </w:r>
          </w:p>
        </w:tc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国库股</w:t>
            </w:r>
          </w:p>
        </w:tc>
        <w:tc>
          <w:tcPr>
            <w:tcW w:w="9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4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5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7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0352-4051235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政府性基金预算：①政府性基金收入表。②政府性基金支出表。③本级政府性基金支出表。④政府性基金转移支付表。⑤政府专项债务限额和余额情况表。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国有资本经营预算：①国有资本经营预算收入表。②国有资本经营预算支出表。③本级国有资本经营预算支出表。④对下安排转移支付的应当公开国有资本经营预算转移支付表。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社会保险基金预算：①社会保险基金收入表。②社会保险基金支出表。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公开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5</w:t>
            </w:r>
          </w:p>
        </w:tc>
        <w:tc>
          <w:tcPr>
            <w:tcW w:w="7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政府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决算</w:t>
            </w: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对财政转移支付安排、举借政府债务、预算绩效工作开展情况等重要事项进行解释、说明，并公开重大政策和重点项目绩效执行结果。</w:t>
            </w:r>
          </w:p>
        </w:tc>
        <w:tc>
          <w:tcPr>
            <w:tcW w:w="14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同上</w:t>
            </w:r>
          </w:p>
        </w:tc>
        <w:tc>
          <w:tcPr>
            <w:tcW w:w="8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本级人民代表大会或其常务委员会批准后20日内</w:t>
            </w:r>
          </w:p>
        </w:tc>
        <w:tc>
          <w:tcPr>
            <w:tcW w:w="6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地方各级财政部门</w:t>
            </w:r>
          </w:p>
        </w:tc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国库股</w:t>
            </w:r>
          </w:p>
        </w:tc>
        <w:tc>
          <w:tcPr>
            <w:tcW w:w="9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4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5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7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0352-4051235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地方本级汇总的一般公共预算“三公”经费，包括预算总额，以及“因公出国（境）费”“公务用车购置及运行费”（区分“公务用车购置费”“公务用车运行费”两项）“公务接待费”分项数额，并对增减变化情况（与预算对比）进行说明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地方政府债务限额、余额、使用安排及还本付息等信息，包括：上年末本地区、本级及所属地区地方政府债务限额、余额决算数，地方政府债券发行、还本付息决算数，以及债券资金使用安排等。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没有数据的表格应当列出空表并说明。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6</w:t>
            </w:r>
          </w:p>
        </w:tc>
        <w:tc>
          <w:tcPr>
            <w:tcW w:w="7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部门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预算</w:t>
            </w: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收支总体情况表：①部门收支总体情况表。②部门收入总体情况表。③部门支出总体情况表。</w:t>
            </w:r>
          </w:p>
        </w:tc>
        <w:tc>
          <w:tcPr>
            <w:tcW w:w="14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《预算法》、《政府信息公开条例》、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等法律法规和文件规定</w:t>
            </w:r>
          </w:p>
        </w:tc>
        <w:tc>
          <w:tcPr>
            <w:tcW w:w="8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本级政府财政部门批复后20日内</w:t>
            </w:r>
          </w:p>
        </w:tc>
        <w:tc>
          <w:tcPr>
            <w:tcW w:w="6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地方各级预算部门</w:t>
            </w:r>
          </w:p>
        </w:tc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预算股</w:t>
            </w:r>
          </w:p>
        </w:tc>
        <w:tc>
          <w:tcPr>
            <w:tcW w:w="9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0352-4051235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财政拨款收支情况表：①财政拨款收支总体情况表。②一般公共预算支出情况表。③一般公共预算基本支出情况表。④一般公共预算“三公”经费支出情况表。⑤政府性基金预算支出情况表。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一般公共预算支出情况表公开到功能分类项级科目。一般公共预算基本支出表公开到经济分类款级科目。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进行说明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本部门职责、机构设置情况、预算收支增减变化、机关运行经费安排以及政府采购（主要包括部门政府采购预算总金额和货物、工程、服务采购的预算金额）等情况的说明，并对专业性较强的名词进行解释。结合工作进展情况，逐步公开国有资产占用、重点项目预算的绩效目标等情况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没有数据的表格应当列出空表并说明。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7</w:t>
            </w:r>
          </w:p>
        </w:tc>
        <w:tc>
          <w:tcPr>
            <w:tcW w:w="7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部门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决算</w:t>
            </w: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收支总体情况表：①部门收支总体情况表。②部门收入总体情况表。③部门支出总体情况表。</w:t>
            </w:r>
          </w:p>
        </w:tc>
        <w:tc>
          <w:tcPr>
            <w:tcW w:w="14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《预算法》、《政府信息公开条例》、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等法律法规和文件规定</w:t>
            </w:r>
          </w:p>
        </w:tc>
        <w:tc>
          <w:tcPr>
            <w:tcW w:w="8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本级政府财政部门批复后20日内</w:t>
            </w:r>
          </w:p>
        </w:tc>
        <w:tc>
          <w:tcPr>
            <w:tcW w:w="6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地方各级预算部门</w:t>
            </w:r>
          </w:p>
        </w:tc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国库股</w:t>
            </w:r>
          </w:p>
        </w:tc>
        <w:tc>
          <w:tcPr>
            <w:tcW w:w="9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0352-4051235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财政拨款收支情况表：①财政拨款收支总体情况表。②一般公共预算支出情况表。③一般公共预算基本支出情况表。④一般公共预算“三公”经费支出情况表。⑤政府性基金预算支出情况表。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一般公共预算支出情况表公开到功能分类项级科目。一般公共预算基本支出表公开到经济分类款级科目。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（与预算对比）进行说明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8</w:t>
            </w:r>
          </w:p>
        </w:tc>
        <w:tc>
          <w:tcPr>
            <w:tcW w:w="7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部门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决算</w:t>
            </w: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本部门职责、机构设置情况、决算收支增减变化、机关运行经费安排以及政府采购（主要包括部门政府采购支出总金额，货物、工程、服务的采购金额，授予中小企业的合同金额及占政府采购支出总金额的比重）等情况的说明，并对专业性较强的名词进行解释。结合工作进展情况，逐步公开国有资产占用、绩效评价结果等情况。</w:t>
            </w:r>
          </w:p>
        </w:tc>
        <w:tc>
          <w:tcPr>
            <w:tcW w:w="14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《预算法》、《政府信息公开条例》、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等法律法规和文件规定</w:t>
            </w:r>
          </w:p>
        </w:tc>
        <w:tc>
          <w:tcPr>
            <w:tcW w:w="8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本级政府财政部门批复后20日内</w:t>
            </w:r>
          </w:p>
        </w:tc>
        <w:tc>
          <w:tcPr>
            <w:tcW w:w="6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地方各级预算部门</w:t>
            </w:r>
          </w:p>
        </w:tc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default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国库股</w:t>
            </w:r>
          </w:p>
        </w:tc>
        <w:tc>
          <w:tcPr>
            <w:tcW w:w="9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5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6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  <w:lang w:val="en-US" w:eastAsia="zh-CN"/>
              </w:rPr>
              <w:t>0352-4051235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3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4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center"/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1"/>
                <w:szCs w:val="21"/>
              </w:rPr>
              <w:t>没有数据的表格应当列出空表并说明。</w:t>
            </w: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bookmarkEnd w:id="1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A09D91"/>
    <w:multiLevelType w:val="multilevel"/>
    <w:tmpl w:val="90A09D91"/>
    <w:lvl w:ilvl="0" w:tentative="0">
      <w:start w:val="1"/>
      <w:numFmt w:val="decimal"/>
      <w:pStyle w:val="3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isLgl/>
      <w:lvlText w:val="%1.%2."/>
      <w:lvlJc w:val="left"/>
      <w:pPr>
        <w:ind w:left="113" w:leftChars="0" w:hanging="113" w:firstLineChars="0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D362C"/>
    <w:rsid w:val="00425030"/>
    <w:rsid w:val="00CF7E60"/>
    <w:rsid w:val="020F6C21"/>
    <w:rsid w:val="06776DEB"/>
    <w:rsid w:val="069D2271"/>
    <w:rsid w:val="0973178D"/>
    <w:rsid w:val="0D26449A"/>
    <w:rsid w:val="0D951179"/>
    <w:rsid w:val="0DE26E74"/>
    <w:rsid w:val="10814AD9"/>
    <w:rsid w:val="111C128B"/>
    <w:rsid w:val="11E342DB"/>
    <w:rsid w:val="15E00238"/>
    <w:rsid w:val="163D6C1B"/>
    <w:rsid w:val="1A5D16BB"/>
    <w:rsid w:val="1AAD3A86"/>
    <w:rsid w:val="203A17B3"/>
    <w:rsid w:val="214D03CE"/>
    <w:rsid w:val="2393591D"/>
    <w:rsid w:val="241B5282"/>
    <w:rsid w:val="24525BB0"/>
    <w:rsid w:val="24BE6123"/>
    <w:rsid w:val="284C7E70"/>
    <w:rsid w:val="29473438"/>
    <w:rsid w:val="297861C1"/>
    <w:rsid w:val="2DA31038"/>
    <w:rsid w:val="30437299"/>
    <w:rsid w:val="30D97DD7"/>
    <w:rsid w:val="397F7504"/>
    <w:rsid w:val="3A1B7657"/>
    <w:rsid w:val="43105621"/>
    <w:rsid w:val="448E4664"/>
    <w:rsid w:val="47E65D8B"/>
    <w:rsid w:val="4BE84679"/>
    <w:rsid w:val="4FA37960"/>
    <w:rsid w:val="527C5CC8"/>
    <w:rsid w:val="55F15DF6"/>
    <w:rsid w:val="568A58EC"/>
    <w:rsid w:val="57127A7F"/>
    <w:rsid w:val="5EF2131C"/>
    <w:rsid w:val="635C6AFB"/>
    <w:rsid w:val="65810525"/>
    <w:rsid w:val="6FDA54EF"/>
    <w:rsid w:val="7351102E"/>
    <w:rsid w:val="76FE1F51"/>
    <w:rsid w:val="78187497"/>
    <w:rsid w:val="7924493F"/>
    <w:rsid w:val="79B516A0"/>
    <w:rsid w:val="7B0F1368"/>
    <w:rsid w:val="7B113F1B"/>
    <w:rsid w:val="7F6D3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="200" w:afterLines="0" w:afterAutospacing="0" w:line="240" w:lineRule="auto"/>
      <w:ind w:left="432" w:hanging="432" w:firstLineChars="0"/>
      <w:jc w:val="center"/>
      <w:outlineLvl w:val="0"/>
    </w:pPr>
    <w:rPr>
      <w:rFonts w:ascii="仿宋" w:hAnsi="仿宋" w:eastAsia="仿宋" w:cs="仿宋"/>
      <w:b/>
      <w:kern w:val="44"/>
      <w:sz w:val="32"/>
      <w:szCs w:val="2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tabs>
        <w:tab w:val="left" w:pos="420"/>
      </w:tabs>
      <w:spacing w:before="300" w:beforeAutospacing="0" w:after="300" w:afterAutospacing="0" w:line="240" w:lineRule="auto"/>
      <w:ind w:left="113" w:hanging="113" w:firstLineChars="0"/>
      <w:jc w:val="left"/>
      <w:outlineLvl w:val="1"/>
    </w:pPr>
    <w:rPr>
      <w:rFonts w:ascii="仿宋" w:hAnsi="仿宋" w:cs="仿宋"/>
      <w:b/>
      <w:sz w:val="30"/>
      <w:szCs w:val="28"/>
    </w:rPr>
  </w:style>
  <w:style w:type="paragraph" w:styleId="5">
    <w:name w:val="heading 3"/>
    <w:basedOn w:val="4"/>
    <w:next w:val="1"/>
    <w:link w:val="24"/>
    <w:semiHidden/>
    <w:unhideWhenUsed/>
    <w:qFormat/>
    <w:uiPriority w:val="0"/>
    <w:pPr>
      <w:keepNext/>
      <w:keepLines/>
      <w:numPr>
        <w:ilvl w:val="2"/>
      </w:numPr>
      <w:spacing w:before="400" w:after="400" w:line="240" w:lineRule="auto"/>
      <w:ind w:left="0" w:firstLine="480" w:firstLineChars="150"/>
      <w:jc w:val="left"/>
      <w:outlineLvl w:val="2"/>
    </w:pPr>
    <w:rPr>
      <w:bCs/>
      <w:szCs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400" w:beforeLines="0" w:beforeAutospacing="0" w:after="400" w:afterLines="0" w:afterAutospacing="0" w:line="240" w:lineRule="auto"/>
      <w:ind w:left="864" w:hanging="864" w:firstLineChars="0"/>
      <w:outlineLvl w:val="3"/>
    </w:pPr>
    <w:rPr>
      <w:rFonts w:ascii="仿宋" w:hAnsi="仿宋" w:cs="仿宋"/>
      <w:b/>
      <w:szCs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 w:firstLineChars="0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400" w:beforeLines="0" w:beforeAutospacing="0" w:after="400" w:afterLines="0" w:afterAutospacing="0" w:line="240" w:lineRule="auto"/>
      <w:ind w:left="1151" w:hanging="1151" w:firstLineChars="0"/>
      <w:outlineLvl w:val="5"/>
    </w:pPr>
    <w:rPr>
      <w:rFonts w:ascii="仿宋" w:hAnsi="仿宋" w:eastAsia="黑体" w:cs="仿宋"/>
      <w:b/>
      <w:sz w:val="28"/>
      <w:szCs w:val="28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12">
    <w:name w:val="Body Text"/>
    <w:basedOn w:val="1"/>
    <w:qFormat/>
    <w:uiPriority w:val="0"/>
    <w:pPr>
      <w:spacing w:after="120" w:afterLines="0" w:afterAutospacing="0"/>
    </w:pPr>
  </w:style>
  <w:style w:type="paragraph" w:styleId="1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14">
    <w:name w:val="toc 3"/>
    <w:basedOn w:val="1"/>
    <w:next w:val="1"/>
    <w:qFormat/>
    <w:uiPriority w:val="0"/>
    <w:pPr>
      <w:ind w:left="0" w:leftChars="0"/>
    </w:pPr>
    <w:rPr>
      <w:rFonts w:ascii="仿宋" w:hAnsi="仿宋" w:cs="仿宋"/>
      <w:szCs w:val="28"/>
    </w:rPr>
  </w:style>
  <w:style w:type="paragraph" w:styleId="15">
    <w:name w:val="Plain Text"/>
    <w:basedOn w:val="1"/>
    <w:qFormat/>
    <w:uiPriority w:val="0"/>
    <w:rPr>
      <w:rFonts w:ascii="宋体" w:hAnsi="Courier New"/>
    </w:rPr>
  </w:style>
  <w:style w:type="paragraph" w:styleId="1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7">
    <w:name w:val="toc 1"/>
    <w:basedOn w:val="1"/>
    <w:next w:val="1"/>
    <w:qFormat/>
    <w:uiPriority w:val="0"/>
    <w:pPr>
      <w:ind w:firstLine="0" w:firstLineChars="0"/>
    </w:pPr>
    <w:rPr>
      <w:rFonts w:ascii="仿宋" w:hAnsi="仿宋" w:cs="仿宋"/>
      <w:b/>
      <w:szCs w:val="28"/>
    </w:rPr>
  </w:style>
  <w:style w:type="paragraph" w:styleId="18">
    <w:name w:val="toc 2"/>
    <w:basedOn w:val="1"/>
    <w:next w:val="1"/>
    <w:qFormat/>
    <w:uiPriority w:val="0"/>
    <w:pPr>
      <w:ind w:left="0" w:leftChars="0"/>
    </w:pPr>
    <w:rPr>
      <w:rFonts w:ascii="仿宋" w:hAnsi="仿宋" w:cs="仿宋"/>
      <w:szCs w:val="28"/>
    </w:rPr>
  </w:style>
  <w:style w:type="paragraph" w:styleId="19">
    <w:name w:val="Normal (Web)"/>
    <w:basedOn w:val="1"/>
    <w:qFormat/>
    <w:uiPriority w:val="0"/>
    <w:pPr>
      <w:spacing w:before="0" w:beforeAutospacing="1" w:after="0" w:afterAutospacing="1" w:line="400" w:lineRule="exact"/>
      <w:ind w:left="0" w:right="0" w:firstLine="0" w:firstLineChars="0"/>
      <w:jc w:val="left"/>
    </w:pPr>
    <w:rPr>
      <w:kern w:val="0"/>
      <w:sz w:val="24"/>
      <w:lang w:val="en-US" w:eastAsia="zh-CN" w:bidi="ar"/>
    </w:rPr>
  </w:style>
  <w:style w:type="paragraph" w:styleId="20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21">
    <w:name w:val="Body Text First Indent 2"/>
    <w:basedOn w:val="13"/>
    <w:qFormat/>
    <w:uiPriority w:val="0"/>
    <w:pPr>
      <w:ind w:firstLine="420" w:firstLineChars="200"/>
    </w:pPr>
  </w:style>
  <w:style w:type="character" w:customStyle="1" w:styleId="24">
    <w:name w:val="标题 3 Char"/>
    <w:basedOn w:val="23"/>
    <w:link w:val="5"/>
    <w:qFormat/>
    <w:uiPriority w:val="9"/>
    <w:rPr>
      <w:rFonts w:ascii="Times New Roman" w:hAnsi="Times New Roman" w:eastAsia="仿宋" w:cs="Times New Roman"/>
      <w:b/>
      <w:bCs/>
      <w:sz w:val="30"/>
      <w:szCs w:val="32"/>
    </w:rPr>
  </w:style>
  <w:style w:type="paragraph" w:customStyle="1" w:styleId="25">
    <w:name w:val="表格"/>
    <w:basedOn w:val="1"/>
    <w:qFormat/>
    <w:uiPriority w:val="0"/>
    <w:pPr>
      <w:spacing w:line="360" w:lineRule="exact"/>
      <w:ind w:firstLine="0" w:firstLineChars="0"/>
      <w:jc w:val="center"/>
    </w:pPr>
    <w:rPr>
      <w:rFonts w:ascii="仿宋" w:hAnsi="仿宋" w:cs="仿宋"/>
      <w:sz w:val="24"/>
      <w:szCs w:val="28"/>
    </w:rPr>
  </w:style>
  <w:style w:type="paragraph" w:customStyle="1" w:styleId="26">
    <w:name w:val="附注"/>
    <w:basedOn w:val="1"/>
    <w:next w:val="1"/>
    <w:qFormat/>
    <w:uiPriority w:val="0"/>
    <w:pPr>
      <w:spacing w:line="360" w:lineRule="exact"/>
    </w:pPr>
    <w:rPr>
      <w:rFonts w:ascii="仿宋" w:hAnsi="仿宋" w:eastAsia="仿宋" w:cs="仿宋"/>
      <w:b/>
      <w:i/>
      <w:sz w:val="24"/>
      <w:szCs w:val="28"/>
    </w:rPr>
  </w:style>
  <w:style w:type="paragraph" w:customStyle="1" w:styleId="27">
    <w:name w:val="居中加粗"/>
    <w:basedOn w:val="1"/>
    <w:qFormat/>
    <w:uiPriority w:val="0"/>
    <w:pPr>
      <w:ind w:firstLine="0" w:firstLineChars="0"/>
      <w:jc w:val="center"/>
    </w:pPr>
    <w:rPr>
      <w:rFonts w:ascii="仿宋" w:hAnsi="仿宋" w:cs="仿宋"/>
      <w:b/>
      <w:sz w:val="30"/>
      <w:szCs w:val="28"/>
    </w:rPr>
  </w:style>
  <w:style w:type="paragraph" w:customStyle="1" w:styleId="28">
    <w:name w:val="封面-公司名称"/>
    <w:basedOn w:val="1"/>
    <w:next w:val="20"/>
    <w:qFormat/>
    <w:uiPriority w:val="0"/>
    <w:rPr>
      <w:rFonts w:ascii="仿宋" w:hAnsi="仿宋"/>
      <w:sz w:val="44"/>
    </w:rPr>
  </w:style>
  <w:style w:type="paragraph" w:customStyle="1" w:styleId="29">
    <w:name w:val="封面-项目名称"/>
    <w:basedOn w:val="15"/>
    <w:next w:val="15"/>
    <w:qFormat/>
    <w:uiPriority w:val="0"/>
    <w:pPr>
      <w:spacing w:line="240" w:lineRule="auto"/>
      <w:ind w:firstLine="0" w:firstLineChars="0"/>
      <w:jc w:val="center"/>
    </w:pPr>
    <w:rPr>
      <w:rFonts w:hAnsi="宋体" w:cs="仿宋"/>
      <w:b/>
      <w:sz w:val="84"/>
      <w:szCs w:val="28"/>
    </w:rPr>
  </w:style>
  <w:style w:type="paragraph" w:customStyle="1" w:styleId="30">
    <w:name w:val="封面-项目标号"/>
    <w:next w:val="15"/>
    <w:qFormat/>
    <w:uiPriority w:val="0"/>
    <w:pPr>
      <w:jc w:val="center"/>
    </w:pPr>
    <w:rPr>
      <w:rFonts w:ascii="仿宋" w:hAnsi="仿宋" w:eastAsia="仿宋" w:cstheme="minorBidi"/>
      <w:sz w:val="36"/>
    </w:rPr>
  </w:style>
  <w:style w:type="paragraph" w:customStyle="1" w:styleId="31">
    <w:name w:val="封面-投标文件"/>
    <w:basedOn w:val="15"/>
    <w:next w:val="15"/>
    <w:qFormat/>
    <w:uiPriority w:val="0"/>
    <w:pPr>
      <w:ind w:firstLine="0" w:firstLineChars="0"/>
      <w:jc w:val="center"/>
    </w:pPr>
    <w:rPr>
      <w:rFonts w:hAnsi="宋体" w:cs="仿宋"/>
      <w:b/>
      <w:sz w:val="84"/>
      <w:szCs w:val="28"/>
    </w:rPr>
  </w:style>
  <w:style w:type="paragraph" w:customStyle="1" w:styleId="32">
    <w:name w:val="封面-公司名称地址"/>
    <w:basedOn w:val="15"/>
    <w:next w:val="15"/>
    <w:qFormat/>
    <w:uiPriority w:val="0"/>
    <w:pPr>
      <w:ind w:firstLine="0" w:firstLineChars="0"/>
      <w:jc w:val="center"/>
    </w:pPr>
    <w:rPr>
      <w:rFonts w:ascii="仿宋" w:hAnsi="仿宋" w:eastAsia="仿宋" w:cs="仿宋"/>
      <w:sz w:val="3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2020-12-17T03:33:00Z</dcterms:created>
  <dc:creator>恍若゛隔世い</dc:creator>
  <cp:lastModifiedBy>恍若゛隔世い</cp:lastModifiedBy>
  <dcterms:modified xsi:type="dcterms:W3CDTF">2022-08-16T01:55:25Z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