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numPr>
          <w:numId w:val="0"/>
        </w:numPr>
        <w:bidi w:val="0"/>
        <w:ind w:leftChars="0"/>
        <w:jc w:val="center"/>
        <w:rPr>
          <w:rFonts w:hint="eastAsia"/>
        </w:rPr>
      </w:pPr>
      <w:bookmarkStart w:id="0" w:name="_GoBack"/>
      <w:bookmarkEnd w:id="0"/>
      <w:r>
        <w:rPr>
          <w:rFonts w:hint="eastAsia"/>
          <w:lang w:eastAsia="zh-CN"/>
        </w:rPr>
        <w:t>云冈区</w:t>
      </w:r>
      <w:r>
        <w:rPr>
          <w:rFonts w:hint="eastAsia"/>
        </w:rPr>
        <w:t>国有土地上房屋征收与补偿领域基层政务公开标准目录</w:t>
      </w:r>
    </w:p>
    <w:tbl>
      <w:tblPr>
        <w:tblStyle w:val="21"/>
        <w:tblW w:w="15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4"/>
        <w:gridCol w:w="838"/>
        <w:gridCol w:w="1043"/>
        <w:gridCol w:w="2280"/>
        <w:gridCol w:w="1965"/>
        <w:gridCol w:w="1200"/>
        <w:gridCol w:w="705"/>
        <w:gridCol w:w="885"/>
        <w:gridCol w:w="945"/>
        <w:gridCol w:w="720"/>
        <w:gridCol w:w="750"/>
        <w:gridCol w:w="390"/>
        <w:gridCol w:w="930"/>
        <w:gridCol w:w="540"/>
        <w:gridCol w:w="765"/>
        <w:gridCol w:w="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sz w:val="22"/>
                <w:szCs w:val="22"/>
                <w:vertAlign w:val="baseli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81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22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公开内容</w:t>
            </w:r>
          </w:p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（要素）</w:t>
            </w:r>
          </w:p>
        </w:tc>
        <w:tc>
          <w:tcPr>
            <w:tcW w:w="1965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885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  <w:lang w:eastAsia="zh-CN"/>
              </w:rPr>
              <w:t>责任股（室）</w:t>
            </w:r>
          </w:p>
        </w:tc>
        <w:tc>
          <w:tcPr>
            <w:tcW w:w="945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</w:rPr>
              <w:t>公开渠道和载体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32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color w:val="000000"/>
                <w:kern w:val="0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305" w:type="dxa"/>
            <w:gridSpan w:val="2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公开层级</w:t>
            </w:r>
          </w:p>
        </w:tc>
        <w:tc>
          <w:tcPr>
            <w:tcW w:w="889" w:type="dxa"/>
            <w:vMerge w:val="restart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  <w:lang w:val="en-US" w:eastAsia="zh-CN"/>
              </w:rPr>
              <w:t>咨询及监督电话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4" w:type="dxa"/>
            <w:vMerge w:val="continue"/>
            <w:noWrap w:val="0"/>
            <w:vAlign w:val="top"/>
          </w:tcPr>
          <w:p>
            <w:pPr>
              <w:rPr>
                <w:b/>
                <w:bCs/>
                <w:vertAlign w:val="baseline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二级</w:t>
            </w:r>
          </w:p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事项</w:t>
            </w:r>
          </w:p>
        </w:tc>
        <w:tc>
          <w:tcPr>
            <w:tcW w:w="2280" w:type="dxa"/>
            <w:vMerge w:val="continue"/>
            <w:noWrap w:val="0"/>
            <w:vAlign w:val="top"/>
          </w:tcPr>
          <w:p>
            <w:pPr>
              <w:rPr>
                <w:b/>
                <w:bCs/>
                <w:vertAlign w:val="baseline"/>
              </w:rPr>
            </w:pPr>
          </w:p>
        </w:tc>
        <w:tc>
          <w:tcPr>
            <w:tcW w:w="1965" w:type="dxa"/>
            <w:vMerge w:val="continue"/>
            <w:noWrap w:val="0"/>
            <w:vAlign w:val="top"/>
          </w:tcPr>
          <w:p>
            <w:pPr>
              <w:rPr>
                <w:b/>
                <w:bCs/>
                <w:vertAlign w:val="baseline"/>
              </w:rPr>
            </w:pPr>
          </w:p>
        </w:tc>
        <w:tc>
          <w:tcPr>
            <w:tcW w:w="1200" w:type="dxa"/>
            <w:vMerge w:val="continue"/>
            <w:noWrap w:val="0"/>
            <w:vAlign w:val="top"/>
          </w:tcPr>
          <w:p>
            <w:pPr>
              <w:rPr>
                <w:b/>
                <w:bCs/>
                <w:vertAlign w:val="baseline"/>
              </w:rPr>
            </w:pPr>
          </w:p>
        </w:tc>
        <w:tc>
          <w:tcPr>
            <w:tcW w:w="705" w:type="dxa"/>
            <w:vMerge w:val="continue"/>
            <w:noWrap w:val="0"/>
            <w:vAlign w:val="top"/>
          </w:tcPr>
          <w:p>
            <w:pPr>
              <w:rPr>
                <w:b/>
                <w:bCs/>
                <w:vertAlign w:val="baseline"/>
              </w:rPr>
            </w:pPr>
          </w:p>
        </w:tc>
        <w:tc>
          <w:tcPr>
            <w:tcW w:w="885" w:type="dxa"/>
            <w:vMerge w:val="continue"/>
            <w:noWrap w:val="0"/>
            <w:vAlign w:val="top"/>
          </w:tcPr>
          <w:p>
            <w:pPr>
              <w:rPr>
                <w:b/>
                <w:bCs/>
                <w:vertAlign w:val="baseline"/>
              </w:rPr>
            </w:pPr>
          </w:p>
        </w:tc>
        <w:tc>
          <w:tcPr>
            <w:tcW w:w="945" w:type="dxa"/>
            <w:vMerge w:val="continue"/>
            <w:noWrap w:val="0"/>
            <w:vAlign w:val="top"/>
          </w:tcPr>
          <w:p>
            <w:pPr>
              <w:rPr>
                <w:b/>
                <w:bCs/>
                <w:vertAlign w:val="baseli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390" w:type="dxa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b/>
                <w:bCs/>
                <w:vertAlign w:val="baseline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2"/>
              </w:rPr>
              <w:t>乡、村级</w:t>
            </w:r>
          </w:p>
        </w:tc>
        <w:tc>
          <w:tcPr>
            <w:tcW w:w="889" w:type="dxa"/>
            <w:vMerge w:val="continue"/>
            <w:noWrap w:val="0"/>
            <w:vAlign w:val="top"/>
          </w:tcPr>
          <w:p>
            <w:pPr>
              <w:rPr>
                <w:b/>
                <w:bCs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4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国家层面法规政策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国务院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《关于推进国有土地上房屋征收与补偿信息公开工作的实施意见》；《关于进一步加强国有土地上房屋征收与补偿信息公开工作的通知》。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县（区、市）人民政府及房屋征收部门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区房屋征收与补偿办公室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eastAsia" w:eastAsia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0352-7202184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法规</w:t>
            </w:r>
          </w:p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政策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地方层面法规政策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《山西省国有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土地上房屋征收与补偿条例》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大同市国有土地上房屋征收与补偿的若干规定》（同政发〔2011〕43号）、《大同市国有土地上房屋征收与补偿的若干规定的补充规定》（同政发〔2015〕105号）、《大同市国有土地上房屋征收与补偿的若干规定的补充规定》（同政发〔2018〕52号）</w:t>
            </w:r>
          </w:p>
          <w:p>
            <w:pPr>
              <w:jc w:val="both"/>
              <w:rPr>
                <w:vertAlign w:val="baseline"/>
              </w:rPr>
            </w:pPr>
          </w:p>
        </w:tc>
        <w:tc>
          <w:tcPr>
            <w:tcW w:w="196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《政府信息公开条例》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县（区、市）人民政府及房屋征收部门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区房屋征收与补偿办公室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39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0352-7202184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4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838" w:type="dxa"/>
            <w:vMerge w:val="restart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征收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房屋调查登记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入户调查通知；调查结果；认定结果。</w:t>
            </w:r>
          </w:p>
        </w:tc>
        <w:tc>
          <w:tcPr>
            <w:tcW w:w="1965" w:type="dxa"/>
            <w:vMerge w:val="restart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《山西省国有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土地上房屋征收与补偿条例》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县（区、市）人民政府及房屋征收部门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区房屋征收与补偿办公室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3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0352-7202184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4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838" w:type="dxa"/>
            <w:vMerge w:val="continue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043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房屋征收决定公告（包括补偿方案和行政复议、行政诉讼权利等事项）。</w:t>
            </w:r>
          </w:p>
        </w:tc>
        <w:tc>
          <w:tcPr>
            <w:tcW w:w="1965" w:type="dxa"/>
            <w:vMerge w:val="continue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20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县（区、市）人民政府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区房屋征收与补偿办公室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、政务媒体、报纸、公示栏</w:t>
            </w:r>
          </w:p>
          <w:p>
            <w:pPr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</w:t>
            </w:r>
          </w:p>
        </w:tc>
        <w:tc>
          <w:tcPr>
            <w:tcW w:w="3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0352-7202184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434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补偿</w:t>
            </w:r>
          </w:p>
        </w:tc>
        <w:tc>
          <w:tcPr>
            <w:tcW w:w="1043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房屋征收补偿决定公告。</w:t>
            </w:r>
          </w:p>
        </w:tc>
        <w:tc>
          <w:tcPr>
            <w:tcW w:w="196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《国有土地上房屋征收与补偿条例》；《国有土地上房屋征收评估办法》；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《山西省国有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土地上房屋征收与补偿条例》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《关于推进国有土地上房屋征收与补偿信息公开工作的实施意见》；《关于进一步加强国有土地上房屋征收与补偿信息公开工作的通知》</w:t>
            </w:r>
          </w:p>
        </w:tc>
        <w:tc>
          <w:tcPr>
            <w:tcW w:w="1200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信息形成或者变更之日起20个工作日内予以公开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县（区、市）房屋征收部门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val="en-US" w:eastAsia="zh-CN"/>
              </w:rPr>
              <w:t>区房屋征收与补偿办公室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both"/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  <w:lang w:eastAsia="zh-CN"/>
              </w:rPr>
              <w:t>、政务媒体、报纸、公示栏</w:t>
            </w:r>
          </w:p>
          <w:p>
            <w:pPr>
              <w:jc w:val="both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■入户/现场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在征收范围内向被征收人</w:t>
            </w:r>
          </w:p>
        </w:tc>
        <w:tc>
          <w:tcPr>
            <w:tcW w:w="39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89" w:type="dxa"/>
            <w:noWrap w:val="0"/>
            <w:vAlign w:val="center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0352-7202184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0A09D91"/>
    <w:multiLevelType w:val="multilevel"/>
    <w:tmpl w:val="90A09D91"/>
    <w:lvl w:ilvl="0" w:tentative="0">
      <w:start w:val="1"/>
      <w:numFmt w:val="decimal"/>
      <w:pStyle w:val="3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pStyle w:val="4"/>
      <w:isLgl/>
      <w:lvlText w:val="%1.%2."/>
      <w:lvlJc w:val="left"/>
      <w:pPr>
        <w:ind w:left="113" w:leftChars="0" w:hanging="113" w:firstLineChars="0"/>
      </w:pPr>
      <w:rPr>
        <w:rFonts w:hint="default" w:ascii="宋体" w:hAnsi="宋体" w:eastAsia="宋体" w:cs="宋体"/>
      </w:rPr>
    </w:lvl>
    <w:lvl w:ilvl="2" w:tentative="0">
      <w:start w:val="1"/>
      <w:numFmt w:val="decimal"/>
      <w:pStyle w:val="5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6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pStyle w:val="7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pStyle w:val="8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pStyle w:val="9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pStyle w:val="10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646546"/>
    <w:rsid w:val="00425030"/>
    <w:rsid w:val="00CF7E60"/>
    <w:rsid w:val="020F6C21"/>
    <w:rsid w:val="06776DEB"/>
    <w:rsid w:val="069D2271"/>
    <w:rsid w:val="0973178D"/>
    <w:rsid w:val="0D26449A"/>
    <w:rsid w:val="0D951179"/>
    <w:rsid w:val="0DE26E74"/>
    <w:rsid w:val="10814AD9"/>
    <w:rsid w:val="111C128B"/>
    <w:rsid w:val="11E342DB"/>
    <w:rsid w:val="15E00238"/>
    <w:rsid w:val="163D6C1B"/>
    <w:rsid w:val="1A5D16BB"/>
    <w:rsid w:val="1AAD3A86"/>
    <w:rsid w:val="203A17B3"/>
    <w:rsid w:val="214D03CE"/>
    <w:rsid w:val="2393591D"/>
    <w:rsid w:val="241B5282"/>
    <w:rsid w:val="24525BB0"/>
    <w:rsid w:val="24BE6123"/>
    <w:rsid w:val="284C7E70"/>
    <w:rsid w:val="29473438"/>
    <w:rsid w:val="297861C1"/>
    <w:rsid w:val="2DA31038"/>
    <w:rsid w:val="30437299"/>
    <w:rsid w:val="30D97DD7"/>
    <w:rsid w:val="397F7504"/>
    <w:rsid w:val="3A1B7657"/>
    <w:rsid w:val="43105621"/>
    <w:rsid w:val="43646546"/>
    <w:rsid w:val="448E4664"/>
    <w:rsid w:val="47E65D8B"/>
    <w:rsid w:val="4BE84679"/>
    <w:rsid w:val="4FA37960"/>
    <w:rsid w:val="527C5CC8"/>
    <w:rsid w:val="55F15DF6"/>
    <w:rsid w:val="568A58EC"/>
    <w:rsid w:val="57127A7F"/>
    <w:rsid w:val="5EF2131C"/>
    <w:rsid w:val="635C6AFB"/>
    <w:rsid w:val="65810525"/>
    <w:rsid w:val="6FDA54EF"/>
    <w:rsid w:val="7351102E"/>
    <w:rsid w:val="76FE1F51"/>
    <w:rsid w:val="78187497"/>
    <w:rsid w:val="7924493F"/>
    <w:rsid w:val="79B516A0"/>
    <w:rsid w:val="7B11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="200" w:afterLines="0" w:afterAutospacing="0" w:line="240" w:lineRule="auto"/>
      <w:ind w:left="432" w:hanging="432" w:firstLineChars="0"/>
      <w:jc w:val="center"/>
      <w:outlineLvl w:val="0"/>
    </w:pPr>
    <w:rPr>
      <w:rFonts w:ascii="仿宋" w:hAnsi="仿宋" w:eastAsia="仿宋" w:cs="仿宋"/>
      <w:b/>
      <w:kern w:val="44"/>
      <w:sz w:val="32"/>
      <w:szCs w:val="28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tabs>
        <w:tab w:val="left" w:pos="420"/>
      </w:tabs>
      <w:spacing w:before="300" w:beforeAutospacing="0" w:after="300" w:afterAutospacing="0" w:line="240" w:lineRule="auto"/>
      <w:ind w:left="113" w:hanging="113" w:firstLineChars="0"/>
      <w:jc w:val="left"/>
      <w:outlineLvl w:val="1"/>
    </w:pPr>
    <w:rPr>
      <w:rFonts w:ascii="仿宋" w:hAnsi="仿宋" w:cs="仿宋"/>
      <w:b/>
      <w:sz w:val="30"/>
      <w:szCs w:val="28"/>
    </w:rPr>
  </w:style>
  <w:style w:type="paragraph" w:styleId="5">
    <w:name w:val="heading 3"/>
    <w:basedOn w:val="4"/>
    <w:next w:val="1"/>
    <w:link w:val="23"/>
    <w:semiHidden/>
    <w:unhideWhenUsed/>
    <w:qFormat/>
    <w:uiPriority w:val="0"/>
    <w:pPr>
      <w:keepNext/>
      <w:keepLines/>
      <w:numPr>
        <w:ilvl w:val="2"/>
      </w:numPr>
      <w:spacing w:before="400" w:after="400" w:line="240" w:lineRule="auto"/>
      <w:ind w:left="0" w:firstLine="480" w:firstLineChars="150"/>
      <w:jc w:val="left"/>
      <w:outlineLvl w:val="2"/>
    </w:pPr>
    <w:rPr>
      <w:bCs/>
      <w:szCs w:val="32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400" w:beforeLines="0" w:beforeAutospacing="0" w:after="400" w:afterLines="0" w:afterAutospacing="0" w:line="240" w:lineRule="auto"/>
      <w:ind w:left="864" w:hanging="864" w:firstLineChars="0"/>
      <w:outlineLvl w:val="3"/>
    </w:pPr>
    <w:rPr>
      <w:rFonts w:ascii="仿宋" w:hAnsi="仿宋" w:cs="仿宋"/>
      <w:b/>
      <w:szCs w:val="28"/>
    </w:rPr>
  </w:style>
  <w:style w:type="paragraph" w:styleId="7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1008" w:hanging="1008" w:firstLineChars="0"/>
      <w:outlineLvl w:val="4"/>
    </w:pPr>
    <w:rPr>
      <w:b/>
      <w:sz w:val="28"/>
    </w:rPr>
  </w:style>
  <w:style w:type="paragraph" w:styleId="8">
    <w:name w:val="heading 6"/>
    <w:basedOn w:val="1"/>
    <w:next w:val="1"/>
    <w:semiHidden/>
    <w:unhideWhenUsed/>
    <w:qFormat/>
    <w:uiPriority w:val="0"/>
    <w:pPr>
      <w:keepNext/>
      <w:keepLines/>
      <w:numPr>
        <w:ilvl w:val="5"/>
        <w:numId w:val="1"/>
      </w:numPr>
      <w:spacing w:before="400" w:beforeLines="0" w:beforeAutospacing="0" w:after="400" w:afterLines="0" w:afterAutospacing="0" w:line="240" w:lineRule="auto"/>
      <w:ind w:left="1151" w:hanging="1151" w:firstLineChars="0"/>
      <w:outlineLvl w:val="5"/>
    </w:pPr>
    <w:rPr>
      <w:rFonts w:ascii="仿宋" w:hAnsi="仿宋" w:eastAsia="黑体" w:cs="仿宋"/>
      <w:b/>
      <w:sz w:val="28"/>
      <w:szCs w:val="28"/>
    </w:rPr>
  </w:style>
  <w:style w:type="paragraph" w:styleId="9">
    <w:name w:val="heading 7"/>
    <w:basedOn w:val="1"/>
    <w:next w:val="1"/>
    <w:semiHidden/>
    <w:unhideWhenUsed/>
    <w:qFormat/>
    <w:uiPriority w:val="0"/>
    <w:pPr>
      <w:keepNext/>
      <w:keepLines/>
      <w:numPr>
        <w:ilvl w:val="6"/>
        <w:numId w:val="1"/>
      </w:numPr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semiHidden/>
    <w:unhideWhenUsed/>
    <w:qFormat/>
    <w:uiPriority w:val="0"/>
    <w:pPr>
      <w:keepNext/>
      <w:keepLines/>
      <w:numPr>
        <w:ilvl w:val="7"/>
        <w:numId w:val="1"/>
      </w:numPr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semiHidden/>
    <w:unhideWhenUsed/>
    <w:qFormat/>
    <w:uiPriority w:val="0"/>
    <w:pPr>
      <w:keepNext/>
      <w:keepLines/>
      <w:numPr>
        <w:ilvl w:val="8"/>
        <w:numId w:val="1"/>
      </w:numPr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1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3">
    <w:name w:val="toc 3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4">
    <w:name w:val="Plain Text"/>
    <w:basedOn w:val="1"/>
    <w:uiPriority w:val="0"/>
    <w:rPr>
      <w:rFonts w:ascii="宋体" w:hAnsi="Courier New"/>
    </w:rPr>
  </w:style>
  <w:style w:type="paragraph" w:styleId="15">
    <w:name w:val="toc 1"/>
    <w:basedOn w:val="1"/>
    <w:next w:val="1"/>
    <w:qFormat/>
    <w:uiPriority w:val="0"/>
    <w:pPr>
      <w:ind w:firstLine="0" w:firstLineChars="0"/>
    </w:pPr>
    <w:rPr>
      <w:rFonts w:ascii="仿宋" w:hAnsi="仿宋" w:cs="仿宋"/>
      <w:b/>
      <w:szCs w:val="28"/>
    </w:rPr>
  </w:style>
  <w:style w:type="paragraph" w:styleId="16">
    <w:name w:val="toc 2"/>
    <w:basedOn w:val="1"/>
    <w:next w:val="1"/>
    <w:qFormat/>
    <w:uiPriority w:val="0"/>
    <w:pPr>
      <w:ind w:left="0" w:leftChars="0"/>
    </w:pPr>
    <w:rPr>
      <w:rFonts w:ascii="仿宋" w:hAnsi="仿宋" w:cs="仿宋"/>
      <w:szCs w:val="28"/>
    </w:rPr>
  </w:style>
  <w:style w:type="paragraph" w:styleId="17">
    <w:name w:val="Normal (Web)"/>
    <w:basedOn w:val="1"/>
    <w:qFormat/>
    <w:uiPriority w:val="0"/>
    <w:pPr>
      <w:spacing w:before="0" w:beforeAutospacing="1" w:after="0" w:afterAutospacing="1" w:line="400" w:lineRule="exact"/>
      <w:ind w:left="0" w:right="0" w:firstLine="0" w:firstLineChars="0"/>
      <w:jc w:val="left"/>
    </w:pPr>
    <w:rPr>
      <w:kern w:val="0"/>
      <w:sz w:val="24"/>
      <w:lang w:val="en-US" w:eastAsia="zh-CN" w:bidi="ar"/>
    </w:rPr>
  </w:style>
  <w:style w:type="paragraph" w:styleId="18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19">
    <w:name w:val="Body Text First Indent 2"/>
    <w:basedOn w:val="12"/>
    <w:qFormat/>
    <w:uiPriority w:val="0"/>
    <w:pPr>
      <w:ind w:firstLine="420" w:firstLineChars="200"/>
    </w:pPr>
  </w:style>
  <w:style w:type="table" w:styleId="21">
    <w:name w:val="Table Grid"/>
    <w:basedOn w:val="2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标题 3 Char"/>
    <w:basedOn w:val="22"/>
    <w:link w:val="5"/>
    <w:qFormat/>
    <w:uiPriority w:val="9"/>
    <w:rPr>
      <w:rFonts w:ascii="Times New Roman" w:hAnsi="Times New Roman" w:eastAsia="仿宋" w:cs="Times New Roman"/>
      <w:b/>
      <w:bCs/>
      <w:sz w:val="30"/>
      <w:szCs w:val="32"/>
    </w:rPr>
  </w:style>
  <w:style w:type="paragraph" w:customStyle="1" w:styleId="24">
    <w:name w:val="表格"/>
    <w:basedOn w:val="1"/>
    <w:qFormat/>
    <w:uiPriority w:val="0"/>
    <w:pPr>
      <w:spacing w:line="360" w:lineRule="exact"/>
      <w:ind w:firstLine="0" w:firstLineChars="0"/>
      <w:jc w:val="center"/>
    </w:pPr>
    <w:rPr>
      <w:rFonts w:ascii="仿宋" w:hAnsi="仿宋" w:cs="仿宋"/>
      <w:sz w:val="24"/>
      <w:szCs w:val="28"/>
    </w:rPr>
  </w:style>
  <w:style w:type="paragraph" w:customStyle="1" w:styleId="25">
    <w:name w:val="附注"/>
    <w:basedOn w:val="1"/>
    <w:next w:val="1"/>
    <w:qFormat/>
    <w:uiPriority w:val="0"/>
    <w:pPr>
      <w:spacing w:line="360" w:lineRule="exact"/>
    </w:pPr>
    <w:rPr>
      <w:rFonts w:ascii="仿宋" w:hAnsi="仿宋" w:eastAsia="仿宋" w:cs="仿宋"/>
      <w:b/>
      <w:i/>
      <w:sz w:val="24"/>
      <w:szCs w:val="28"/>
    </w:rPr>
  </w:style>
  <w:style w:type="paragraph" w:customStyle="1" w:styleId="26">
    <w:name w:val="居中加粗"/>
    <w:basedOn w:val="1"/>
    <w:qFormat/>
    <w:uiPriority w:val="0"/>
    <w:pPr>
      <w:ind w:firstLine="0" w:firstLineChars="0"/>
      <w:jc w:val="center"/>
    </w:pPr>
    <w:rPr>
      <w:rFonts w:ascii="仿宋" w:hAnsi="仿宋" w:cs="仿宋"/>
      <w:b/>
      <w:sz w:val="30"/>
      <w:szCs w:val="28"/>
    </w:rPr>
  </w:style>
  <w:style w:type="paragraph" w:customStyle="1" w:styleId="27">
    <w:name w:val="封面-公司名称"/>
    <w:basedOn w:val="1"/>
    <w:next w:val="18"/>
    <w:qFormat/>
    <w:uiPriority w:val="0"/>
    <w:rPr>
      <w:rFonts w:ascii="仿宋" w:hAnsi="仿宋"/>
      <w:sz w:val="44"/>
    </w:rPr>
  </w:style>
  <w:style w:type="paragraph" w:customStyle="1" w:styleId="28">
    <w:name w:val="封面-项目名称"/>
    <w:basedOn w:val="14"/>
    <w:next w:val="14"/>
    <w:qFormat/>
    <w:uiPriority w:val="0"/>
    <w:pPr>
      <w:spacing w:line="240" w:lineRule="auto"/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29">
    <w:name w:val="封面-项目标号"/>
    <w:next w:val="14"/>
    <w:uiPriority w:val="0"/>
    <w:pPr>
      <w:jc w:val="center"/>
    </w:pPr>
    <w:rPr>
      <w:rFonts w:ascii="仿宋" w:hAnsi="仿宋" w:eastAsia="仿宋" w:cstheme="minorBidi"/>
      <w:sz w:val="36"/>
    </w:rPr>
  </w:style>
  <w:style w:type="paragraph" w:customStyle="1" w:styleId="30">
    <w:name w:val="封面-投标文件"/>
    <w:basedOn w:val="14"/>
    <w:next w:val="14"/>
    <w:uiPriority w:val="0"/>
    <w:pPr>
      <w:ind w:firstLine="0" w:firstLineChars="0"/>
      <w:jc w:val="center"/>
    </w:pPr>
    <w:rPr>
      <w:rFonts w:hAnsi="宋体" w:cs="仿宋"/>
      <w:b/>
      <w:sz w:val="84"/>
      <w:szCs w:val="28"/>
    </w:rPr>
  </w:style>
  <w:style w:type="paragraph" w:customStyle="1" w:styleId="31">
    <w:name w:val="封面-公司名称地址"/>
    <w:basedOn w:val="14"/>
    <w:next w:val="14"/>
    <w:qFormat/>
    <w:uiPriority w:val="0"/>
    <w:pPr>
      <w:ind w:firstLine="0" w:firstLineChars="0"/>
      <w:jc w:val="center"/>
    </w:pPr>
    <w:rPr>
      <w:rFonts w:ascii="仿宋" w:hAnsi="仿宋" w:eastAsia="仿宋" w:cs="仿宋"/>
      <w:sz w:val="3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2020-12-17T03:38:00Z</dcterms:created>
  <dc:creator>恍若゛隔世い</dc:creator>
  <cp:lastModifiedBy>恍若゛隔世い</cp:lastModifiedBy>
  <dcterms:modified xsi:type="dcterms:W3CDTF">2020-12-17T03:40:25Z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