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bidi w:val="0"/>
        <w:ind w:leftChars="0"/>
        <w:jc w:val="center"/>
      </w:pPr>
      <w:bookmarkStart w:id="0" w:name="_Toc5072"/>
      <w:r>
        <w:rPr>
          <w:rFonts w:hint="eastAsia"/>
        </w:rPr>
        <w:t>云冈区养老服务领域基层政务公开标准目录</w:t>
      </w:r>
      <w:bookmarkEnd w:id="0"/>
    </w:p>
    <w:tbl>
      <w:tblPr>
        <w:tblStyle w:val="20"/>
        <w:tblpPr w:leftFromText="180" w:rightFromText="180" w:vertAnchor="text" w:horzAnchor="page" w:tblpX="941" w:tblpY="33"/>
        <w:tblOverlap w:val="never"/>
        <w:tblW w:w="4998" w:type="pct"/>
        <w:tblInd w:w="0" w:type="dxa"/>
        <w:tblLayout w:type="fixed"/>
        <w:tblCellMar>
          <w:top w:w="0" w:type="dxa"/>
          <w:left w:w="0" w:type="dxa"/>
          <w:bottom w:w="0" w:type="dxa"/>
          <w:right w:w="0" w:type="dxa"/>
        </w:tblCellMar>
      </w:tblPr>
      <w:tblGrid>
        <w:gridCol w:w="689"/>
        <w:gridCol w:w="660"/>
        <w:gridCol w:w="991"/>
        <w:gridCol w:w="2987"/>
        <w:gridCol w:w="1798"/>
        <w:gridCol w:w="622"/>
        <w:gridCol w:w="519"/>
        <w:gridCol w:w="726"/>
        <w:gridCol w:w="927"/>
        <w:gridCol w:w="567"/>
        <w:gridCol w:w="484"/>
        <w:gridCol w:w="498"/>
        <w:gridCol w:w="705"/>
        <w:gridCol w:w="470"/>
        <w:gridCol w:w="457"/>
        <w:gridCol w:w="880"/>
      </w:tblGrid>
      <w:tr>
        <w:tblPrEx>
          <w:tblCellMar>
            <w:top w:w="0" w:type="dxa"/>
            <w:left w:w="0" w:type="dxa"/>
            <w:bottom w:w="0" w:type="dxa"/>
            <w:right w:w="0" w:type="dxa"/>
          </w:tblCellMar>
        </w:tblPrEx>
        <w:trPr>
          <w:trHeight w:val="23" w:hRule="atLeast"/>
        </w:trPr>
        <w:tc>
          <w:tcPr>
            <w:tcW w:w="246"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序号</w:t>
            </w:r>
          </w:p>
        </w:tc>
        <w:tc>
          <w:tcPr>
            <w:tcW w:w="59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公开事项</w:t>
            </w:r>
          </w:p>
        </w:tc>
        <w:tc>
          <w:tcPr>
            <w:tcW w:w="1068"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公开内容（要素）</w:t>
            </w:r>
          </w:p>
        </w:tc>
        <w:tc>
          <w:tcPr>
            <w:tcW w:w="643"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公开依据</w:t>
            </w:r>
          </w:p>
        </w:tc>
        <w:tc>
          <w:tcPr>
            <w:tcW w:w="222"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公开时限</w:t>
            </w:r>
          </w:p>
        </w:tc>
        <w:tc>
          <w:tcPr>
            <w:tcW w:w="185"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公开主体</w:t>
            </w:r>
          </w:p>
        </w:tc>
        <w:tc>
          <w:tcPr>
            <w:tcW w:w="259"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责任股（室）</w:t>
            </w:r>
          </w:p>
        </w:tc>
        <w:tc>
          <w:tcPr>
            <w:tcW w:w="331"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公开渠道和载体</w:t>
            </w:r>
          </w:p>
        </w:tc>
        <w:tc>
          <w:tcPr>
            <w:tcW w:w="375"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公开对象</w:t>
            </w:r>
          </w:p>
        </w:tc>
        <w:tc>
          <w:tcPr>
            <w:tcW w:w="430"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公开方式</w:t>
            </w:r>
          </w:p>
        </w:tc>
        <w:tc>
          <w:tcPr>
            <w:tcW w:w="331" w:type="pct"/>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公开层级</w:t>
            </w:r>
          </w:p>
        </w:tc>
        <w:tc>
          <w:tcPr>
            <w:tcW w:w="314" w:type="pct"/>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宋体" w:cs="宋体"/>
                <w:b/>
                <w:color w:val="000000"/>
                <w:sz w:val="22"/>
                <w:szCs w:val="22"/>
              </w:rPr>
            </w:pPr>
            <w:r>
              <w:rPr>
                <w:rFonts w:hint="eastAsia" w:ascii="黑体" w:hAnsi="黑体" w:eastAsia="黑体" w:cs="黑体"/>
                <w:b/>
                <w:color w:val="000000"/>
                <w:kern w:val="0"/>
                <w:sz w:val="22"/>
                <w:szCs w:val="22"/>
              </w:rPr>
              <w:t>咨询及监督电话</w:t>
            </w:r>
          </w:p>
        </w:tc>
      </w:tr>
      <w:tr>
        <w:tblPrEx>
          <w:tblCellMar>
            <w:top w:w="0" w:type="dxa"/>
            <w:left w:w="0" w:type="dxa"/>
            <w:bottom w:w="0" w:type="dxa"/>
            <w:right w:w="0" w:type="dxa"/>
          </w:tblCellMar>
        </w:tblPrEx>
        <w:trPr>
          <w:trHeight w:val="23" w:hRule="atLeast"/>
        </w:trPr>
        <w:tc>
          <w:tcPr>
            <w:tcW w:w="246"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黑体" w:hAnsi="黑体" w:eastAsia="黑体" w:cs="黑体"/>
                <w:b/>
                <w:color w:val="000000"/>
                <w:sz w:val="22"/>
                <w:szCs w:val="22"/>
              </w:rPr>
            </w:pPr>
          </w:p>
        </w:tc>
        <w:tc>
          <w:tcPr>
            <w:tcW w:w="2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一级事项</w:t>
            </w:r>
          </w:p>
        </w:tc>
        <w:tc>
          <w:tcPr>
            <w:tcW w:w="35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二级事项</w:t>
            </w:r>
          </w:p>
        </w:tc>
        <w:tc>
          <w:tcPr>
            <w:tcW w:w="1068"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黑体" w:hAnsi="黑体" w:eastAsia="黑体" w:cs="黑体"/>
                <w:b/>
                <w:color w:val="000000"/>
                <w:sz w:val="22"/>
                <w:szCs w:val="22"/>
              </w:rPr>
            </w:pPr>
          </w:p>
        </w:tc>
        <w:tc>
          <w:tcPr>
            <w:tcW w:w="643"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黑体" w:hAnsi="黑体" w:eastAsia="黑体" w:cs="黑体"/>
                <w:b/>
                <w:color w:val="000000"/>
                <w:sz w:val="22"/>
                <w:szCs w:val="22"/>
              </w:rPr>
            </w:pPr>
          </w:p>
        </w:tc>
        <w:tc>
          <w:tcPr>
            <w:tcW w:w="222"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黑体" w:hAnsi="黑体" w:eastAsia="黑体" w:cs="黑体"/>
                <w:b/>
                <w:color w:val="000000"/>
                <w:sz w:val="22"/>
                <w:szCs w:val="22"/>
              </w:rPr>
            </w:pPr>
          </w:p>
        </w:tc>
        <w:tc>
          <w:tcPr>
            <w:tcW w:w="185"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黑体" w:hAnsi="黑体" w:eastAsia="黑体" w:cs="黑体"/>
                <w:b/>
                <w:color w:val="000000"/>
                <w:sz w:val="22"/>
                <w:szCs w:val="22"/>
              </w:rPr>
            </w:pPr>
          </w:p>
        </w:tc>
        <w:tc>
          <w:tcPr>
            <w:tcW w:w="259"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黑体" w:hAnsi="黑体" w:eastAsia="黑体" w:cs="黑体"/>
                <w:b/>
                <w:color w:val="000000"/>
                <w:sz w:val="22"/>
                <w:szCs w:val="22"/>
              </w:rPr>
            </w:pPr>
          </w:p>
        </w:tc>
        <w:tc>
          <w:tcPr>
            <w:tcW w:w="331"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黑体" w:hAnsi="黑体" w:eastAsia="黑体" w:cs="黑体"/>
                <w:b/>
                <w:color w:val="000000"/>
                <w:sz w:val="22"/>
                <w:szCs w:val="22"/>
              </w:rPr>
            </w:pPr>
          </w:p>
        </w:tc>
        <w:tc>
          <w:tcPr>
            <w:tcW w:w="2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全社会</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特定群众</w:t>
            </w:r>
          </w:p>
        </w:tc>
        <w:tc>
          <w:tcPr>
            <w:tcW w:w="17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主动</w:t>
            </w:r>
          </w:p>
        </w:tc>
        <w:tc>
          <w:tcPr>
            <w:tcW w:w="2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依申请公开</w:t>
            </w:r>
          </w:p>
        </w:tc>
        <w:tc>
          <w:tcPr>
            <w:tcW w:w="1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县级</w:t>
            </w:r>
          </w:p>
        </w:tc>
        <w:tc>
          <w:tcPr>
            <w:tcW w:w="1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黑体" w:hAnsi="黑体" w:eastAsia="黑体" w:cs="黑体"/>
                <w:b/>
                <w:color w:val="000000"/>
                <w:sz w:val="22"/>
                <w:szCs w:val="22"/>
              </w:rPr>
            </w:pPr>
            <w:r>
              <w:rPr>
                <w:rFonts w:hint="eastAsia" w:ascii="黑体" w:hAnsi="黑体" w:eastAsia="黑体" w:cs="黑体"/>
                <w:b/>
                <w:color w:val="000000"/>
                <w:kern w:val="0"/>
                <w:sz w:val="22"/>
                <w:szCs w:val="22"/>
              </w:rPr>
              <w:t>乡、村级</w:t>
            </w:r>
          </w:p>
        </w:tc>
        <w:tc>
          <w:tcPr>
            <w:tcW w:w="314" w:type="pct"/>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ascii="宋体" w:cs="宋体"/>
                <w:b/>
                <w:color w:val="000000"/>
                <w:sz w:val="22"/>
                <w:szCs w:val="22"/>
              </w:rPr>
            </w:pPr>
          </w:p>
        </w:tc>
      </w:tr>
      <w:tr>
        <w:tblPrEx>
          <w:tblCellMar>
            <w:top w:w="0" w:type="dxa"/>
            <w:left w:w="0" w:type="dxa"/>
            <w:bottom w:w="0" w:type="dxa"/>
            <w:right w:w="0" w:type="dxa"/>
          </w:tblCellMar>
        </w:tblPrEx>
        <w:trPr>
          <w:trHeight w:val="23" w:hRule="atLeast"/>
        </w:trPr>
        <w:tc>
          <w:tcPr>
            <w:tcW w:w="2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1</w:t>
            </w:r>
          </w:p>
        </w:tc>
        <w:tc>
          <w:tcPr>
            <w:tcW w:w="2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养老服务业务办理</w:t>
            </w:r>
          </w:p>
        </w:tc>
        <w:tc>
          <w:tcPr>
            <w:tcW w:w="35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养老机构备案</w:t>
            </w:r>
          </w:p>
        </w:tc>
        <w:tc>
          <w:tcPr>
            <w:tcW w:w="10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机构登记证书、《设置养老机构备案书》和《备案承诺书》，并对提交材料的真实性、准确性负责。民政局出具《设置养老机构备案回执》《养老服务基本条件告知书》。民政局登记管理部门应按照社会组织双重管理的规定受理登记，按照“一网通办”的流程，自受理正式申请之日起30个工作日内办结。</w:t>
            </w:r>
          </w:p>
        </w:tc>
        <w:tc>
          <w:tcPr>
            <w:tcW w:w="6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《信息公开条例》及相关规定关于贯彻落实新修改的《中华人民共和国老年人权益保障法》的通知</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2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制定或获取扶持政策之日起10个工作日内</w:t>
            </w:r>
          </w:p>
        </w:tc>
        <w:tc>
          <w:tcPr>
            <w:tcW w:w="1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云冈区民政局</w:t>
            </w:r>
          </w:p>
        </w:tc>
        <w:tc>
          <w:tcPr>
            <w:tcW w:w="25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养老慈善科</w:t>
            </w:r>
          </w:p>
        </w:tc>
        <w:tc>
          <w:tcPr>
            <w:tcW w:w="33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政府网站</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政府服务中心</w:t>
            </w:r>
          </w:p>
        </w:tc>
        <w:tc>
          <w:tcPr>
            <w:tcW w:w="2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7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2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31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4040228</w:t>
            </w:r>
          </w:p>
        </w:tc>
      </w:tr>
      <w:tr>
        <w:tblPrEx>
          <w:tblCellMar>
            <w:top w:w="0" w:type="dxa"/>
            <w:left w:w="0" w:type="dxa"/>
            <w:bottom w:w="0" w:type="dxa"/>
            <w:right w:w="0" w:type="dxa"/>
          </w:tblCellMar>
        </w:tblPrEx>
        <w:trPr>
          <w:trHeight w:val="23" w:hRule="atLeast"/>
        </w:trPr>
        <w:tc>
          <w:tcPr>
            <w:tcW w:w="2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2</w:t>
            </w:r>
          </w:p>
        </w:tc>
        <w:tc>
          <w:tcPr>
            <w:tcW w:w="2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35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养老服务扶持补贴</w:t>
            </w:r>
          </w:p>
        </w:tc>
        <w:tc>
          <w:tcPr>
            <w:tcW w:w="10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1.医养融合养老服务机构：新建的按每张床位6000元给予一次性建设补助；改扩建的按每张床位5000元给予一次性建设补助。2、其他养老服务机构：新建的按每张床位5000元给予一次性建设补助；改扩建的按每张床位3000元给予一次性建设补助。补贴标准按照自理老人每人每月100元；半失能老人每人每月150元；失能老人每人每月200元。</w:t>
            </w:r>
          </w:p>
        </w:tc>
        <w:tc>
          <w:tcPr>
            <w:tcW w:w="6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山西省民政厅、山西省财政厅关于做好民办养老机构建设补助的通知（晋民发〔2015〕69号）;</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山西省民政厅、山西省财政厅关于完善民办养老机构相关补助的通知（晋民发〔2019〕43号；</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《信息公开条例》及相关规定。</w:t>
            </w:r>
          </w:p>
        </w:tc>
        <w:tc>
          <w:tcPr>
            <w:tcW w:w="2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制定或获取扶持政策之日起10个工作日内</w:t>
            </w:r>
          </w:p>
        </w:tc>
        <w:tc>
          <w:tcPr>
            <w:tcW w:w="1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云冈区民政局</w:t>
            </w:r>
          </w:p>
        </w:tc>
        <w:tc>
          <w:tcPr>
            <w:tcW w:w="25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慈善养老科</w:t>
            </w:r>
          </w:p>
        </w:tc>
        <w:tc>
          <w:tcPr>
            <w:tcW w:w="33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政府网站</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政府服务中心</w:t>
            </w:r>
          </w:p>
        </w:tc>
        <w:tc>
          <w:tcPr>
            <w:tcW w:w="2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7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2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31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4040228</w:t>
            </w:r>
          </w:p>
          <w:p>
            <w:pPr>
              <w:pStyle w:val="2"/>
              <w:keepNext w:val="0"/>
              <w:keepLines w:val="0"/>
              <w:pageBreakBefore w:val="0"/>
              <w:kinsoku/>
              <w:wordWrap/>
              <w:overflowPunct/>
              <w:topLinePunct w:val="0"/>
              <w:autoSpaceDE/>
              <w:autoSpaceDN/>
              <w:bidi w:val="0"/>
              <w:adjustRightInd/>
              <w:snapToGrid/>
              <w:spacing w:line="240" w:lineRule="exact"/>
              <w:ind w:firstLine="31680"/>
              <w:jc w:val="center"/>
              <w:rPr>
                <w:rFonts w:hint="eastAsia" w:ascii="仿宋" w:hAnsi="仿宋" w:eastAsia="仿宋" w:cs="仿宋"/>
                <w:sz w:val="21"/>
                <w:szCs w:val="21"/>
              </w:rPr>
            </w:pPr>
          </w:p>
        </w:tc>
      </w:tr>
      <w:tr>
        <w:tblPrEx>
          <w:tblCellMar>
            <w:top w:w="0" w:type="dxa"/>
            <w:left w:w="0" w:type="dxa"/>
            <w:bottom w:w="0" w:type="dxa"/>
            <w:right w:w="0" w:type="dxa"/>
          </w:tblCellMar>
        </w:tblPrEx>
        <w:trPr>
          <w:trHeight w:val="23" w:hRule="atLeast"/>
        </w:trPr>
        <w:tc>
          <w:tcPr>
            <w:tcW w:w="2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3</w:t>
            </w:r>
          </w:p>
        </w:tc>
        <w:tc>
          <w:tcPr>
            <w:tcW w:w="2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养老服务业务办理</w:t>
            </w:r>
          </w:p>
        </w:tc>
        <w:tc>
          <w:tcPr>
            <w:tcW w:w="35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老年人补贴</w:t>
            </w:r>
          </w:p>
        </w:tc>
        <w:tc>
          <w:tcPr>
            <w:tcW w:w="10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高领与失能老年人补贴、百岁以上老年人补贴。申请程序：1.个人申请2、申请表3、身份证、户口本（验原件留复印件）4、村（居）委会负责人加注意见、代表评议、公示7天，无异议，报乡镇（街道）。（非失能的老年人，无需评议公示）5、乡镇（街道）加注意见，公示7天，无异议（非失能老年人，无需公示）6、专业医疗机构评估鉴定（只针对失能老年人）7、区低保中心审批</w:t>
            </w:r>
          </w:p>
        </w:tc>
        <w:tc>
          <w:tcPr>
            <w:tcW w:w="6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大同市人民政府办公厅《关于建立全市经济困难的高龄与失能老年人补贴及提高百岁以上老年人补贴标准》的通知、大同市云冈区人民政府办公室《关于建立全市经济困难的高龄与失能老年人补贴及提高百岁以上老年人补贴标准》的通知</w:t>
            </w:r>
          </w:p>
        </w:tc>
        <w:tc>
          <w:tcPr>
            <w:tcW w:w="2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区级民政部门、乡镇（街道办事处）</w:t>
            </w:r>
          </w:p>
        </w:tc>
        <w:tc>
          <w:tcPr>
            <w:tcW w:w="25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低保中心、乡镇（街道）办事处民政办</w:t>
            </w:r>
          </w:p>
        </w:tc>
        <w:tc>
          <w:tcPr>
            <w:tcW w:w="33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乡镇（街道）办事处公示栏</w:t>
            </w:r>
          </w:p>
        </w:tc>
        <w:tc>
          <w:tcPr>
            <w:tcW w:w="2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7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2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31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pStyle w:val="2"/>
              <w:keepNext w:val="0"/>
              <w:keepLines w:val="0"/>
              <w:pageBreakBefore w:val="0"/>
              <w:kinsoku/>
              <w:wordWrap/>
              <w:overflowPunct/>
              <w:topLinePunct w:val="0"/>
              <w:autoSpaceDE/>
              <w:autoSpaceDN/>
              <w:bidi w:val="0"/>
              <w:adjustRightInd/>
              <w:snapToGrid/>
              <w:spacing w:line="240" w:lineRule="exact"/>
              <w:ind w:left="0" w:leftChars="0" w:firstLine="0" w:firstLineChars="0"/>
              <w:jc w:val="center"/>
              <w:rPr>
                <w:rFonts w:hint="eastAsia" w:ascii="仿宋" w:hAnsi="仿宋" w:eastAsia="仿宋" w:cs="仿宋"/>
                <w:sz w:val="21"/>
                <w:szCs w:val="21"/>
              </w:rPr>
            </w:pPr>
            <w:r>
              <w:rPr>
                <w:rFonts w:hint="eastAsia" w:ascii="仿宋" w:hAnsi="仿宋" w:eastAsia="仿宋" w:cs="仿宋"/>
                <w:sz w:val="21"/>
                <w:szCs w:val="21"/>
              </w:rPr>
              <w:t>0352-5022915</w:t>
            </w:r>
          </w:p>
        </w:tc>
      </w:tr>
      <w:tr>
        <w:tblPrEx>
          <w:tblCellMar>
            <w:top w:w="0" w:type="dxa"/>
            <w:left w:w="0" w:type="dxa"/>
            <w:bottom w:w="0" w:type="dxa"/>
            <w:right w:w="0" w:type="dxa"/>
          </w:tblCellMar>
        </w:tblPrEx>
        <w:trPr>
          <w:trHeight w:val="23" w:hRule="atLeast"/>
        </w:trPr>
        <w:tc>
          <w:tcPr>
            <w:tcW w:w="24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4</w:t>
            </w:r>
          </w:p>
        </w:tc>
        <w:tc>
          <w:tcPr>
            <w:tcW w:w="236"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养老服务行业管理</w:t>
            </w:r>
          </w:p>
        </w:tc>
        <w:tc>
          <w:tcPr>
            <w:tcW w:w="35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养老机构备案信息</w:t>
            </w:r>
          </w:p>
        </w:tc>
        <w:tc>
          <w:tcPr>
            <w:tcW w:w="10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云冈区已备案养老机构7个，1、大同市云冈区东益泰寿康养老院位于云冈区恒安新区兴岭嘉苑内，床位100张，法人张海宝，建筑面积2850平米，占地面积3500平米。2、大同市云冈区爱晚亭老年公寓，位于泉落路389号，床位65张，法人兰晓云，建筑面积1000平米，占地面积1900平米。3、大同市云冈区口泉老年公寓，位于口泉街道新东街，床位98张，法人宋熙福，建筑面积2400平米，占地面积2000平米。4、大同市安颐养老院，位于大同市一电厂家属院，床位200张，法人吴霆，建筑面积1600平米，占地面积5500平米。5、大同市晋福园老年公寓，位于大同市云冈区泉落路，床位120张，法人许佃军，建筑面积1800平米，占地面积2100平米。6、大同市云冈区长寿星老年公寓，位于云冈区平泉街新回里，床位220张，法人贺政辉建筑面积1958平米，占地面积3915平米。7、大同市夕阳宫养老院，位于云冈区新胜街育新路156号，床位114张，法人谷盛，建筑面积1000平米，占地面积1500平米。</w:t>
            </w:r>
          </w:p>
        </w:tc>
        <w:tc>
          <w:tcPr>
            <w:tcW w:w="64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《中华人民共和国老年人权益保障法》、《养老机构管理办法》、《信息公开条例》及相关规定</w:t>
            </w:r>
            <w:bookmarkStart w:id="1" w:name="_GoBack"/>
            <w:bookmarkEnd w:id="1"/>
          </w:p>
        </w:tc>
        <w:tc>
          <w:tcPr>
            <w:tcW w:w="22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每20个工作日更新</w:t>
            </w:r>
          </w:p>
        </w:tc>
        <w:tc>
          <w:tcPr>
            <w:tcW w:w="185"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云冈区民政局</w:t>
            </w:r>
          </w:p>
        </w:tc>
        <w:tc>
          <w:tcPr>
            <w:tcW w:w="259"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慈善养老科</w:t>
            </w:r>
          </w:p>
        </w:tc>
        <w:tc>
          <w:tcPr>
            <w:tcW w:w="331"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政府网站</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政府服务中心</w:t>
            </w:r>
          </w:p>
        </w:tc>
        <w:tc>
          <w:tcPr>
            <w:tcW w:w="20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7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7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252"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168"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w:t>
            </w:r>
          </w:p>
        </w:tc>
        <w:tc>
          <w:tcPr>
            <w:tcW w:w="163"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c>
          <w:tcPr>
            <w:tcW w:w="314" w:type="pc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r>
              <w:rPr>
                <w:rFonts w:hint="eastAsia" w:ascii="仿宋" w:hAnsi="仿宋" w:eastAsia="仿宋" w:cs="仿宋"/>
                <w:sz w:val="21"/>
                <w:szCs w:val="21"/>
              </w:rPr>
              <w:t>4040228</w:t>
            </w:r>
          </w:p>
          <w:p>
            <w:pPr>
              <w:keepNext w:val="0"/>
              <w:keepLines w:val="0"/>
              <w:pageBreakBefore w:val="0"/>
              <w:kinsoku/>
              <w:wordWrap/>
              <w:overflowPunct/>
              <w:topLinePunct w:val="0"/>
              <w:autoSpaceDE/>
              <w:autoSpaceDN/>
              <w:bidi w:val="0"/>
              <w:adjustRightInd/>
              <w:snapToGrid/>
              <w:spacing w:line="240" w:lineRule="exact"/>
              <w:jc w:val="center"/>
              <w:rPr>
                <w:rFonts w:hint="eastAsia" w:ascii="仿宋" w:hAnsi="仿宋" w:eastAsia="仿宋" w:cs="仿宋"/>
                <w:sz w:val="21"/>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A09D91"/>
    <w:multiLevelType w:val="multilevel"/>
    <w:tmpl w:val="90A09D91"/>
    <w:lvl w:ilvl="0" w:tentative="0">
      <w:start w:val="1"/>
      <w:numFmt w:val="decimal"/>
      <w:pStyle w:val="3"/>
      <w:lvlText w:val="%1."/>
      <w:lvlJc w:val="left"/>
      <w:pPr>
        <w:ind w:left="432" w:hanging="432"/>
      </w:pPr>
      <w:rPr>
        <w:rFonts w:hint="default"/>
      </w:rPr>
    </w:lvl>
    <w:lvl w:ilvl="1" w:tentative="0">
      <w:start w:val="1"/>
      <w:numFmt w:val="decimal"/>
      <w:pStyle w:val="4"/>
      <w:isLgl/>
      <w:lvlText w:val="%1.%2."/>
      <w:lvlJc w:val="left"/>
      <w:pPr>
        <w:ind w:left="113" w:leftChars="0" w:hanging="113" w:firstLineChars="0"/>
      </w:pPr>
      <w:rPr>
        <w:rFonts w:hint="default" w:ascii="宋体" w:hAnsi="宋体" w:eastAsia="宋体" w:cs="宋体"/>
      </w:rPr>
    </w:lvl>
    <w:lvl w:ilvl="2" w:tentative="0">
      <w:start w:val="1"/>
      <w:numFmt w:val="decimal"/>
      <w:pStyle w:val="5"/>
      <w:lvlText w:val="%1.%2.%3."/>
      <w:lvlJc w:val="left"/>
      <w:pPr>
        <w:ind w:left="720" w:hanging="720"/>
      </w:pPr>
      <w:rPr>
        <w:rFonts w:hint="default"/>
      </w:rPr>
    </w:lvl>
    <w:lvl w:ilvl="3" w:tentative="0">
      <w:start w:val="1"/>
      <w:numFmt w:val="decimal"/>
      <w:pStyle w:val="6"/>
      <w:lvlText w:val="%1.%2.%3.%4."/>
      <w:lvlJc w:val="left"/>
      <w:pPr>
        <w:ind w:left="864" w:hanging="864"/>
      </w:pPr>
      <w:rPr>
        <w:rFonts w:hint="default"/>
      </w:rPr>
    </w:lvl>
    <w:lvl w:ilvl="4" w:tentative="0">
      <w:start w:val="1"/>
      <w:numFmt w:val="decimal"/>
      <w:pStyle w:val="7"/>
      <w:lvlText w:val="%1.%2.%3.%4.%5."/>
      <w:lvlJc w:val="left"/>
      <w:pPr>
        <w:ind w:left="1008" w:hanging="1008"/>
      </w:pPr>
      <w:rPr>
        <w:rFonts w:hint="default"/>
      </w:rPr>
    </w:lvl>
    <w:lvl w:ilvl="5" w:tentative="0">
      <w:start w:val="1"/>
      <w:numFmt w:val="decimal"/>
      <w:pStyle w:val="8"/>
      <w:lvlText w:val="%1.%2.%3.%4.%5.%6."/>
      <w:lvlJc w:val="left"/>
      <w:pPr>
        <w:ind w:left="1151" w:hanging="1151"/>
      </w:pPr>
      <w:rPr>
        <w:rFonts w:hint="default"/>
      </w:rPr>
    </w:lvl>
    <w:lvl w:ilvl="6" w:tentative="0">
      <w:start w:val="1"/>
      <w:numFmt w:val="decimal"/>
      <w:pStyle w:val="9"/>
      <w:lvlText w:val="%1.%2.%3.%4.%5.%6.%7."/>
      <w:lvlJc w:val="left"/>
      <w:pPr>
        <w:ind w:left="1296" w:hanging="1296"/>
      </w:pPr>
      <w:rPr>
        <w:rFonts w:hint="default"/>
      </w:rPr>
    </w:lvl>
    <w:lvl w:ilvl="7" w:tentative="0">
      <w:start w:val="1"/>
      <w:numFmt w:val="decimal"/>
      <w:pStyle w:val="10"/>
      <w:lvlText w:val="%1.%2.%3.%4.%5.%6.%7.%8."/>
      <w:lvlJc w:val="left"/>
      <w:pPr>
        <w:ind w:left="1440" w:hanging="1440"/>
      </w:pPr>
      <w:rPr>
        <w:rFonts w:hint="default"/>
      </w:rPr>
    </w:lvl>
    <w:lvl w:ilvl="8" w:tentative="0">
      <w:start w:val="1"/>
      <w:numFmt w:val="decimal"/>
      <w:pStyle w:val="11"/>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AA5CDB"/>
    <w:rsid w:val="00425030"/>
    <w:rsid w:val="00CF7E60"/>
    <w:rsid w:val="020F6C21"/>
    <w:rsid w:val="06776DEB"/>
    <w:rsid w:val="069D2271"/>
    <w:rsid w:val="0973178D"/>
    <w:rsid w:val="0D26449A"/>
    <w:rsid w:val="0D951179"/>
    <w:rsid w:val="0DE26E74"/>
    <w:rsid w:val="10814AD9"/>
    <w:rsid w:val="111C128B"/>
    <w:rsid w:val="11E342DB"/>
    <w:rsid w:val="15E00238"/>
    <w:rsid w:val="163D6C1B"/>
    <w:rsid w:val="1A5D16BB"/>
    <w:rsid w:val="1AAD3A86"/>
    <w:rsid w:val="203A17B3"/>
    <w:rsid w:val="214D03CE"/>
    <w:rsid w:val="2393591D"/>
    <w:rsid w:val="241B5282"/>
    <w:rsid w:val="24525BB0"/>
    <w:rsid w:val="24BE6123"/>
    <w:rsid w:val="284C7E70"/>
    <w:rsid w:val="29473438"/>
    <w:rsid w:val="297861C1"/>
    <w:rsid w:val="2DA31038"/>
    <w:rsid w:val="30437299"/>
    <w:rsid w:val="30D97DD7"/>
    <w:rsid w:val="397F7504"/>
    <w:rsid w:val="3A1B7657"/>
    <w:rsid w:val="41AA5CDB"/>
    <w:rsid w:val="43105621"/>
    <w:rsid w:val="448E4664"/>
    <w:rsid w:val="47E65D8B"/>
    <w:rsid w:val="4BE84679"/>
    <w:rsid w:val="4FA37960"/>
    <w:rsid w:val="527C5CC8"/>
    <w:rsid w:val="55F15DF6"/>
    <w:rsid w:val="568A58EC"/>
    <w:rsid w:val="57127A7F"/>
    <w:rsid w:val="5EF2131C"/>
    <w:rsid w:val="635C6AFB"/>
    <w:rsid w:val="65810525"/>
    <w:rsid w:val="6FDA54EF"/>
    <w:rsid w:val="7351102E"/>
    <w:rsid w:val="76FE1F51"/>
    <w:rsid w:val="78187497"/>
    <w:rsid w:val="7924493F"/>
    <w:rsid w:val="79B516A0"/>
    <w:rsid w:val="7B113F1B"/>
    <w:rsid w:val="7D4E27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keepLines/>
      <w:numPr>
        <w:ilvl w:val="0"/>
        <w:numId w:val="1"/>
      </w:numPr>
      <w:spacing w:beforeLines="0" w:beforeAutospacing="0" w:after="200" w:afterLines="0" w:afterAutospacing="0" w:line="240" w:lineRule="auto"/>
      <w:ind w:left="432" w:hanging="432" w:firstLineChars="0"/>
      <w:jc w:val="center"/>
      <w:outlineLvl w:val="0"/>
    </w:pPr>
    <w:rPr>
      <w:rFonts w:ascii="仿宋" w:hAnsi="仿宋" w:eastAsia="仿宋" w:cs="仿宋"/>
      <w:b/>
      <w:kern w:val="44"/>
      <w:sz w:val="32"/>
      <w:szCs w:val="28"/>
    </w:rPr>
  </w:style>
  <w:style w:type="paragraph" w:styleId="4">
    <w:name w:val="heading 2"/>
    <w:basedOn w:val="1"/>
    <w:next w:val="1"/>
    <w:semiHidden/>
    <w:unhideWhenUsed/>
    <w:qFormat/>
    <w:uiPriority w:val="0"/>
    <w:pPr>
      <w:keepNext/>
      <w:keepLines/>
      <w:numPr>
        <w:ilvl w:val="1"/>
        <w:numId w:val="1"/>
      </w:numPr>
      <w:tabs>
        <w:tab w:val="left" w:pos="420"/>
      </w:tabs>
      <w:spacing w:before="300" w:beforeAutospacing="0" w:after="300" w:afterAutospacing="0" w:line="240" w:lineRule="auto"/>
      <w:ind w:left="113" w:hanging="113" w:firstLineChars="0"/>
      <w:jc w:val="left"/>
      <w:outlineLvl w:val="1"/>
    </w:pPr>
    <w:rPr>
      <w:rFonts w:ascii="仿宋" w:hAnsi="仿宋" w:cs="仿宋"/>
      <w:b/>
      <w:sz w:val="30"/>
      <w:szCs w:val="28"/>
    </w:rPr>
  </w:style>
  <w:style w:type="paragraph" w:styleId="5">
    <w:name w:val="heading 3"/>
    <w:basedOn w:val="4"/>
    <w:next w:val="1"/>
    <w:link w:val="22"/>
    <w:semiHidden/>
    <w:unhideWhenUsed/>
    <w:qFormat/>
    <w:uiPriority w:val="0"/>
    <w:pPr>
      <w:keepNext/>
      <w:keepLines/>
      <w:numPr>
        <w:ilvl w:val="2"/>
      </w:numPr>
      <w:spacing w:before="400" w:after="400" w:line="240" w:lineRule="auto"/>
      <w:ind w:left="0" w:firstLine="480" w:firstLineChars="150"/>
      <w:jc w:val="left"/>
      <w:outlineLvl w:val="2"/>
    </w:pPr>
    <w:rPr>
      <w:bCs/>
      <w:szCs w:val="32"/>
    </w:rPr>
  </w:style>
  <w:style w:type="paragraph" w:styleId="6">
    <w:name w:val="heading 4"/>
    <w:basedOn w:val="1"/>
    <w:next w:val="1"/>
    <w:semiHidden/>
    <w:unhideWhenUsed/>
    <w:qFormat/>
    <w:uiPriority w:val="0"/>
    <w:pPr>
      <w:keepNext/>
      <w:keepLines/>
      <w:numPr>
        <w:ilvl w:val="3"/>
        <w:numId w:val="1"/>
      </w:numPr>
      <w:spacing w:before="400" w:beforeLines="0" w:beforeAutospacing="0" w:after="400" w:afterLines="0" w:afterAutospacing="0" w:line="240" w:lineRule="auto"/>
      <w:ind w:left="864" w:hanging="864" w:firstLineChars="0"/>
      <w:outlineLvl w:val="3"/>
    </w:pPr>
    <w:rPr>
      <w:rFonts w:ascii="仿宋" w:hAnsi="仿宋" w:cs="仿宋"/>
      <w:b/>
      <w:szCs w:val="28"/>
    </w:rPr>
  </w:style>
  <w:style w:type="paragraph" w:styleId="7">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8">
    <w:name w:val="heading 6"/>
    <w:basedOn w:val="1"/>
    <w:next w:val="1"/>
    <w:semiHidden/>
    <w:unhideWhenUsed/>
    <w:qFormat/>
    <w:uiPriority w:val="0"/>
    <w:pPr>
      <w:keepNext/>
      <w:keepLines/>
      <w:numPr>
        <w:ilvl w:val="5"/>
        <w:numId w:val="1"/>
      </w:numPr>
      <w:spacing w:before="400" w:beforeLines="0" w:beforeAutospacing="0" w:after="400" w:afterLines="0" w:afterAutospacing="0" w:line="240" w:lineRule="auto"/>
      <w:ind w:left="1151" w:hanging="1151" w:firstLineChars="0"/>
      <w:outlineLvl w:val="5"/>
    </w:pPr>
    <w:rPr>
      <w:rFonts w:ascii="仿宋" w:hAnsi="仿宋" w:eastAsia="黑体" w:cs="仿宋"/>
      <w:b/>
      <w:sz w:val="28"/>
      <w:szCs w:val="28"/>
    </w:rPr>
  </w:style>
  <w:style w:type="paragraph" w:styleId="9">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10">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firstLineChars="0"/>
      <w:outlineLvl w:val="7"/>
    </w:pPr>
    <w:rPr>
      <w:rFonts w:ascii="Arial" w:hAnsi="Arial" w:eastAsia="黑体"/>
      <w:sz w:val="24"/>
    </w:rPr>
  </w:style>
  <w:style w:type="paragraph" w:styleId="11">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firstLineChars="0"/>
      <w:outlineLvl w:val="8"/>
    </w:pPr>
    <w:rPr>
      <w:rFonts w:ascii="Arial" w:hAnsi="Arial" w:eastAsia="黑体"/>
      <w:sz w:val="21"/>
    </w:rPr>
  </w:style>
  <w:style w:type="character" w:default="1" w:styleId="21">
    <w:name w:val="Default Paragraph Font"/>
    <w:semiHidden/>
    <w:unhideWhenUsed/>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12">
    <w:name w:val="Body Text Indent"/>
    <w:basedOn w:val="1"/>
    <w:qFormat/>
    <w:uiPriority w:val="0"/>
    <w:pPr>
      <w:spacing w:after="120" w:afterLines="0" w:afterAutospacing="0"/>
      <w:ind w:left="420" w:leftChars="200"/>
    </w:pPr>
  </w:style>
  <w:style w:type="paragraph" w:styleId="13">
    <w:name w:val="toc 3"/>
    <w:basedOn w:val="1"/>
    <w:next w:val="1"/>
    <w:uiPriority w:val="0"/>
    <w:pPr>
      <w:ind w:left="0" w:leftChars="0"/>
    </w:pPr>
    <w:rPr>
      <w:rFonts w:ascii="仿宋" w:hAnsi="仿宋" w:cs="仿宋"/>
      <w:szCs w:val="28"/>
    </w:rPr>
  </w:style>
  <w:style w:type="paragraph" w:styleId="14">
    <w:name w:val="Plain Text"/>
    <w:basedOn w:val="1"/>
    <w:uiPriority w:val="0"/>
    <w:rPr>
      <w:rFonts w:ascii="宋体" w:hAnsi="Courier New"/>
    </w:rPr>
  </w:style>
  <w:style w:type="paragraph" w:styleId="15">
    <w:name w:val="toc 1"/>
    <w:basedOn w:val="1"/>
    <w:next w:val="1"/>
    <w:qFormat/>
    <w:uiPriority w:val="0"/>
    <w:pPr>
      <w:ind w:firstLine="0" w:firstLineChars="0"/>
    </w:pPr>
    <w:rPr>
      <w:rFonts w:ascii="仿宋" w:hAnsi="仿宋" w:cs="仿宋"/>
      <w:b/>
      <w:szCs w:val="28"/>
    </w:rPr>
  </w:style>
  <w:style w:type="paragraph" w:styleId="16">
    <w:name w:val="toc 2"/>
    <w:basedOn w:val="1"/>
    <w:next w:val="1"/>
    <w:qFormat/>
    <w:uiPriority w:val="0"/>
    <w:pPr>
      <w:ind w:left="0" w:leftChars="0"/>
    </w:pPr>
    <w:rPr>
      <w:rFonts w:ascii="仿宋" w:hAnsi="仿宋" w:cs="仿宋"/>
      <w:szCs w:val="28"/>
    </w:rPr>
  </w:style>
  <w:style w:type="paragraph" w:styleId="17">
    <w:name w:val="Normal (Web)"/>
    <w:basedOn w:val="1"/>
    <w:qFormat/>
    <w:uiPriority w:val="0"/>
    <w:pPr>
      <w:spacing w:before="0" w:beforeAutospacing="1" w:after="0" w:afterAutospacing="1" w:line="400" w:lineRule="exact"/>
      <w:ind w:left="0" w:right="0" w:firstLine="0" w:firstLineChars="0"/>
      <w:jc w:val="left"/>
    </w:pPr>
    <w:rPr>
      <w:kern w:val="0"/>
      <w:sz w:val="24"/>
      <w:lang w:val="en-US" w:eastAsia="zh-CN" w:bidi="ar"/>
    </w:rPr>
  </w:style>
  <w:style w:type="paragraph" w:styleId="18">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9">
    <w:name w:val="Body Text First Indent 2"/>
    <w:basedOn w:val="12"/>
    <w:qFormat/>
    <w:uiPriority w:val="0"/>
    <w:pPr>
      <w:ind w:firstLine="420" w:firstLineChars="200"/>
    </w:pPr>
  </w:style>
  <w:style w:type="character" w:customStyle="1" w:styleId="22">
    <w:name w:val="标题 3 Char"/>
    <w:basedOn w:val="21"/>
    <w:link w:val="5"/>
    <w:qFormat/>
    <w:uiPriority w:val="9"/>
    <w:rPr>
      <w:rFonts w:ascii="Times New Roman" w:hAnsi="Times New Roman" w:eastAsia="仿宋" w:cs="Times New Roman"/>
      <w:b/>
      <w:bCs/>
      <w:sz w:val="30"/>
      <w:szCs w:val="32"/>
    </w:rPr>
  </w:style>
  <w:style w:type="paragraph" w:customStyle="1" w:styleId="23">
    <w:name w:val="表格"/>
    <w:basedOn w:val="1"/>
    <w:uiPriority w:val="0"/>
    <w:pPr>
      <w:spacing w:line="360" w:lineRule="exact"/>
      <w:ind w:firstLine="0" w:firstLineChars="0"/>
      <w:jc w:val="center"/>
    </w:pPr>
    <w:rPr>
      <w:rFonts w:ascii="仿宋" w:hAnsi="仿宋" w:cs="仿宋"/>
      <w:sz w:val="24"/>
      <w:szCs w:val="28"/>
    </w:rPr>
  </w:style>
  <w:style w:type="paragraph" w:customStyle="1" w:styleId="24">
    <w:name w:val="附注"/>
    <w:basedOn w:val="1"/>
    <w:next w:val="1"/>
    <w:qFormat/>
    <w:uiPriority w:val="0"/>
    <w:pPr>
      <w:spacing w:line="360" w:lineRule="exact"/>
    </w:pPr>
    <w:rPr>
      <w:rFonts w:ascii="仿宋" w:hAnsi="仿宋" w:eastAsia="仿宋" w:cs="仿宋"/>
      <w:b/>
      <w:i/>
      <w:sz w:val="24"/>
      <w:szCs w:val="28"/>
    </w:rPr>
  </w:style>
  <w:style w:type="paragraph" w:customStyle="1" w:styleId="25">
    <w:name w:val="居中加粗"/>
    <w:basedOn w:val="1"/>
    <w:qFormat/>
    <w:uiPriority w:val="0"/>
    <w:pPr>
      <w:ind w:firstLine="0" w:firstLineChars="0"/>
      <w:jc w:val="center"/>
    </w:pPr>
    <w:rPr>
      <w:rFonts w:ascii="仿宋" w:hAnsi="仿宋" w:cs="仿宋"/>
      <w:b/>
      <w:sz w:val="30"/>
      <w:szCs w:val="28"/>
    </w:rPr>
  </w:style>
  <w:style w:type="paragraph" w:customStyle="1" w:styleId="26">
    <w:name w:val="封面-公司名称"/>
    <w:basedOn w:val="1"/>
    <w:next w:val="18"/>
    <w:qFormat/>
    <w:uiPriority w:val="0"/>
    <w:rPr>
      <w:rFonts w:ascii="仿宋" w:hAnsi="仿宋"/>
      <w:sz w:val="44"/>
    </w:rPr>
  </w:style>
  <w:style w:type="paragraph" w:customStyle="1" w:styleId="27">
    <w:name w:val="封面-项目名称"/>
    <w:basedOn w:val="14"/>
    <w:next w:val="14"/>
    <w:qFormat/>
    <w:uiPriority w:val="0"/>
    <w:pPr>
      <w:spacing w:line="240" w:lineRule="auto"/>
      <w:ind w:firstLine="0" w:firstLineChars="0"/>
      <w:jc w:val="center"/>
    </w:pPr>
    <w:rPr>
      <w:rFonts w:hAnsi="宋体" w:cs="仿宋"/>
      <w:b/>
      <w:sz w:val="84"/>
      <w:szCs w:val="28"/>
    </w:rPr>
  </w:style>
  <w:style w:type="paragraph" w:customStyle="1" w:styleId="28">
    <w:name w:val="封面-项目标号"/>
    <w:next w:val="14"/>
    <w:qFormat/>
    <w:uiPriority w:val="0"/>
    <w:pPr>
      <w:jc w:val="center"/>
    </w:pPr>
    <w:rPr>
      <w:rFonts w:ascii="仿宋" w:hAnsi="仿宋" w:eastAsia="仿宋" w:cstheme="minorBidi"/>
      <w:sz w:val="36"/>
    </w:rPr>
  </w:style>
  <w:style w:type="paragraph" w:customStyle="1" w:styleId="29">
    <w:name w:val="封面-投标文件"/>
    <w:basedOn w:val="14"/>
    <w:next w:val="14"/>
    <w:qFormat/>
    <w:uiPriority w:val="0"/>
    <w:pPr>
      <w:ind w:firstLine="0" w:firstLineChars="0"/>
      <w:jc w:val="center"/>
    </w:pPr>
    <w:rPr>
      <w:rFonts w:hAnsi="宋体" w:cs="仿宋"/>
      <w:b/>
      <w:sz w:val="84"/>
      <w:szCs w:val="28"/>
    </w:rPr>
  </w:style>
  <w:style w:type="paragraph" w:customStyle="1" w:styleId="30">
    <w:name w:val="封面-公司名称地址"/>
    <w:basedOn w:val="14"/>
    <w:next w:val="14"/>
    <w:qFormat/>
    <w:uiPriority w:val="0"/>
    <w:pPr>
      <w:ind w:firstLine="0" w:firstLineChars="0"/>
      <w:jc w:val="center"/>
    </w:pPr>
    <w:rPr>
      <w:rFonts w:ascii="仿宋" w:hAnsi="仿宋" w:eastAsia="仿宋" w:cs="仿宋"/>
      <w:sz w:val="30"/>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2020-12-17T03:33:00Z</dcterms:created>
  <dc:creator>恍若゛隔世い</dc:creator>
  <cp:lastModifiedBy>恍若゛隔世い</cp:lastModifiedBy>
  <dcterms:modified xsi:type="dcterms:W3CDTF">2022-05-31T06:25:27Z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