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numPr>
          <w:ilvl w:val="0"/>
          <w:numId w:val="0"/>
        </w:numPr>
        <w:bidi w:val="0"/>
        <w:ind w:leftChars="200"/>
        <w:jc w:val="center"/>
        <w:rPr>
          <w:rFonts w:hint="eastAsia"/>
        </w:rPr>
      </w:pPr>
      <w:bookmarkStart w:id="0" w:name="_Toc4485"/>
      <w:r>
        <w:rPr>
          <w:rFonts w:hint="eastAsia"/>
        </w:rPr>
        <w:t>云冈区</w:t>
      </w:r>
      <w:r>
        <w:rPr>
          <w:rFonts w:hint="eastAsia"/>
          <w:lang w:val="en-US" w:eastAsia="zh-CN"/>
        </w:rPr>
        <w:t>涉农补贴</w:t>
      </w:r>
      <w:r>
        <w:rPr>
          <w:rFonts w:hint="eastAsia"/>
        </w:rPr>
        <w:t>领域基层政务公开标准目录</w:t>
      </w:r>
      <w:bookmarkEnd w:id="0"/>
    </w:p>
    <w:p>
      <w:pPr>
        <w:rPr>
          <w:rFonts w:hint="default"/>
        </w:rPr>
      </w:pPr>
    </w:p>
    <w:tbl>
      <w:tblPr>
        <w:tblStyle w:val="5"/>
        <w:tblW w:w="0" w:type="auto"/>
        <w:tblInd w:w="0" w:type="dxa"/>
        <w:tblLayout w:type="autofit"/>
        <w:tblCellMar>
          <w:top w:w="0" w:type="dxa"/>
          <w:left w:w="28" w:type="dxa"/>
          <w:bottom w:w="0" w:type="dxa"/>
          <w:right w:w="28" w:type="dxa"/>
        </w:tblCellMar>
      </w:tblPr>
      <w:tblGrid>
        <w:gridCol w:w="1026"/>
        <w:gridCol w:w="798"/>
        <w:gridCol w:w="965"/>
        <w:gridCol w:w="1961"/>
        <w:gridCol w:w="1763"/>
        <w:gridCol w:w="967"/>
        <w:gridCol w:w="879"/>
        <w:gridCol w:w="1210"/>
        <w:gridCol w:w="1188"/>
        <w:gridCol w:w="712"/>
        <w:gridCol w:w="573"/>
        <w:gridCol w:w="675"/>
        <w:gridCol w:w="636"/>
        <w:gridCol w:w="597"/>
        <w:gridCol w:w="481"/>
        <w:gridCol w:w="1023"/>
      </w:tblGrid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3" w:hRule="atLeast"/>
        </w:trPr>
        <w:tc>
          <w:tcPr>
            <w:tcW w:w="10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ascii="黑体" w:hAnsi="黑体" w:eastAsia="黑体" w:cs="黑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1"/>
                <w:szCs w:val="21"/>
              </w:rPr>
              <w:t>序号</w:t>
            </w:r>
          </w:p>
        </w:tc>
        <w:tc>
          <w:tcPr>
            <w:tcW w:w="17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ascii="黑体" w:hAnsi="黑体" w:eastAsia="黑体" w:cs="黑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1"/>
                <w:szCs w:val="21"/>
              </w:rPr>
              <w:t>公开事项</w:t>
            </w:r>
          </w:p>
        </w:tc>
        <w:tc>
          <w:tcPr>
            <w:tcW w:w="196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ascii="黑体" w:hAnsi="黑体" w:eastAsia="黑体" w:cs="黑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1"/>
                <w:szCs w:val="21"/>
              </w:rPr>
              <w:t>公开内容（要素）</w:t>
            </w:r>
          </w:p>
        </w:tc>
        <w:tc>
          <w:tcPr>
            <w:tcW w:w="17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ascii="黑体" w:hAnsi="黑体" w:eastAsia="黑体" w:cs="黑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1"/>
                <w:szCs w:val="21"/>
              </w:rPr>
              <w:t>公开依据</w:t>
            </w:r>
          </w:p>
        </w:tc>
        <w:tc>
          <w:tcPr>
            <w:tcW w:w="9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ascii="黑体" w:hAnsi="黑体" w:eastAsia="黑体" w:cs="黑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1"/>
                <w:szCs w:val="21"/>
              </w:rPr>
              <w:t>公开时限</w:t>
            </w:r>
          </w:p>
        </w:tc>
        <w:tc>
          <w:tcPr>
            <w:tcW w:w="87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ascii="黑体" w:hAnsi="黑体" w:eastAsia="黑体" w:cs="黑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1"/>
                <w:szCs w:val="21"/>
              </w:rPr>
              <w:t>公开主体</w:t>
            </w:r>
          </w:p>
        </w:tc>
        <w:tc>
          <w:tcPr>
            <w:tcW w:w="121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ascii="黑体" w:hAnsi="黑体" w:eastAsia="黑体" w:cs="黑体"/>
                <w:b/>
                <w:bCs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kern w:val="0"/>
                <w:sz w:val="22"/>
                <w:highlight w:val="none"/>
              </w:rPr>
              <w:t>责任股（室）</w:t>
            </w:r>
          </w:p>
        </w:tc>
        <w:tc>
          <w:tcPr>
            <w:tcW w:w="11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ascii="黑体" w:hAnsi="黑体" w:eastAsia="黑体" w:cs="黑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1"/>
                <w:szCs w:val="21"/>
              </w:rPr>
              <w:t>公开渠道和载体</w:t>
            </w:r>
          </w:p>
        </w:tc>
        <w:tc>
          <w:tcPr>
            <w:tcW w:w="1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ascii="黑体" w:hAnsi="黑体" w:eastAsia="黑体" w:cs="黑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1"/>
                <w:szCs w:val="21"/>
              </w:rPr>
              <w:t>公开对象</w:t>
            </w:r>
          </w:p>
        </w:tc>
        <w:tc>
          <w:tcPr>
            <w:tcW w:w="13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ascii="黑体" w:hAnsi="黑体" w:eastAsia="黑体" w:cs="黑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1"/>
                <w:szCs w:val="21"/>
              </w:rPr>
              <w:t>公开方式</w:t>
            </w:r>
          </w:p>
        </w:tc>
        <w:tc>
          <w:tcPr>
            <w:tcW w:w="10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ascii="黑体" w:hAnsi="黑体" w:eastAsia="黑体" w:cs="黑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1"/>
                <w:szCs w:val="21"/>
              </w:rPr>
              <w:t>公开层级</w:t>
            </w:r>
          </w:p>
        </w:tc>
        <w:tc>
          <w:tcPr>
            <w:tcW w:w="102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ascii="黑体" w:hAnsi="黑体" w:eastAsia="黑体" w:cs="黑体"/>
                <w:b/>
                <w:bCs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2"/>
                <w:highlight w:val="none"/>
              </w:rPr>
              <w:t>咨询及监督电话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3" w:hRule="atLeast"/>
        </w:trPr>
        <w:tc>
          <w:tcPr>
            <w:tcW w:w="10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黑体" w:hAnsi="黑体" w:eastAsia="黑体" w:cs="黑体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ascii="黑体" w:hAnsi="黑体" w:eastAsia="黑体" w:cs="黑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1"/>
                <w:szCs w:val="21"/>
              </w:rPr>
              <w:t>一级事项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ascii="黑体" w:hAnsi="黑体" w:eastAsia="黑体" w:cs="黑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1"/>
                <w:szCs w:val="21"/>
              </w:rPr>
              <w:t>二级事项</w:t>
            </w:r>
          </w:p>
        </w:tc>
        <w:tc>
          <w:tcPr>
            <w:tcW w:w="19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黑体" w:hAnsi="黑体" w:eastAsia="黑体" w:cs="黑体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17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黑体" w:hAnsi="黑体" w:eastAsia="黑体" w:cs="黑体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9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黑体" w:hAnsi="黑体" w:eastAsia="黑体" w:cs="黑体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8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黑体" w:hAnsi="黑体" w:eastAsia="黑体" w:cs="黑体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121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黑体" w:hAnsi="黑体" w:eastAsia="黑体" w:cs="黑体"/>
                <w:b/>
                <w:bCs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1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黑体" w:hAnsi="黑体" w:eastAsia="黑体" w:cs="黑体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ascii="黑体" w:hAnsi="黑体" w:eastAsia="黑体" w:cs="黑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1"/>
                <w:szCs w:val="21"/>
              </w:rPr>
              <w:t>全社会</w:t>
            </w:r>
          </w:p>
        </w:tc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ascii="黑体" w:hAnsi="黑体" w:eastAsia="黑体" w:cs="黑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1"/>
                <w:szCs w:val="21"/>
              </w:rPr>
              <w:t>特定群众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ascii="黑体" w:hAnsi="黑体" w:eastAsia="黑体" w:cs="黑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1"/>
                <w:szCs w:val="21"/>
              </w:rPr>
              <w:t>主动</w:t>
            </w: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ascii="黑体" w:hAnsi="黑体" w:eastAsia="黑体" w:cs="黑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1"/>
                <w:szCs w:val="21"/>
              </w:rPr>
              <w:t>依申请公开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ascii="黑体" w:hAnsi="黑体" w:eastAsia="黑体" w:cs="黑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1"/>
                <w:szCs w:val="21"/>
              </w:rPr>
              <w:t>县级</w:t>
            </w:r>
          </w:p>
        </w:tc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ascii="黑体" w:hAnsi="黑体" w:eastAsia="黑体" w:cs="黑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1"/>
                <w:szCs w:val="21"/>
              </w:rPr>
              <w:t>乡、村级</w:t>
            </w:r>
          </w:p>
        </w:tc>
        <w:tc>
          <w:tcPr>
            <w:tcW w:w="102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ascii="黑体" w:hAnsi="黑体" w:eastAsia="黑体" w:cs="黑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825" w:hRule="atLeast"/>
        </w:trPr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hint="default" w:ascii="仿宋_GB2312" w:hAnsi="宋体" w:eastAsia="微软雅黑" w:cs="仿宋_GB2312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u w:val="none"/>
              </w:rPr>
              <w:t>农业生产发展资金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br w:type="textWrapping"/>
            </w: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农机购置补贴</w:t>
            </w: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u w:val="none"/>
              </w:rPr>
              <w:br w:type="textWrapping"/>
            </w:r>
          </w:p>
          <w:p>
            <w:pPr>
              <w:widowControl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政策依据；《农业机械化促进法》、《农业生产发展资金管理办法》、《2018-2020年农机购置补贴实施指导意见》申请指南：包括补贴对象：从事农业生产的个人和农业生产经营组织。补贴范围：全区6个乡镇和30个街道。补贴标准：《2018-2020年山西省农机购置补贴机具补贴额一览表》。申请程序：购机-乡镇验机-手机app录入-区农机中心打印申请表-乡镇实地验车-所有资料交回农机中心申请材料：购机申请表、身份证（或营业执照）复印件、交费银行凭证、购机发票、银行卡（或银行账户）、承诺书、上户登记证书、行车本。咨询电话：0352-4040573受理单位：云冈区农业机械发展中心办理时限：申请成功后十日内到农机中心打印申请表。补贴结果：年底在山西省农机购置补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《农业机械化促进法》、《农业生产发展资金管理办法》、《2018-2020年农机购置补贴实施指导意见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信息形成或者变更之日起20个工作日内。法律、法规对政府信息公开的期限另有规定的，从其规定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云冈区农业农村局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textAlignment w:val="center"/>
              <w:rPr>
                <w:rFonts w:ascii="仿宋_GB2312" w:hAnsi="宋体" w:eastAsia="仿宋_GB2312" w:cs="仿宋_GB2312"/>
                <w:color w:val="auto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山西省农机购置补贴信息公开专栏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全社会</w:t>
            </w:r>
          </w:p>
        </w:tc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主动</w:t>
            </w: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县级</w:t>
            </w:r>
          </w:p>
        </w:tc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825" w:hRule="atLeast"/>
        </w:trPr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left="0" w:leftChars="0" w:firstLine="0" w:firstLineChars="0"/>
              <w:jc w:val="both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u w:val="none"/>
              </w:rPr>
              <w:t>农业生产发展资金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u w:val="none"/>
              </w:rPr>
              <w:t>耕地地力保护</w:t>
            </w: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u w:val="single"/>
              </w:rPr>
              <w:br w:type="textWrapping"/>
            </w:r>
          </w:p>
        </w:tc>
        <w:tc>
          <w:tcPr>
            <w:tcW w:w="1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政策依据；申请指南：包括补贴对象、补贴范围、补贴标准、申请程序、申请材料、咨询电话、受理单位、办理时限、联系方式等；补贴结果；监督渠道：包括举报电话、地址等。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《农业生产发展资金管理办法》、《财政部 农业部关于全面推开农业“三项补贴”改革工作的通知》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信息形成或者变更之日起20个工作日内。法律、法规对政府信息公开的期限另有规定的，从其规定。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县级农业农村部门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政府网站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全社会</w:t>
            </w:r>
          </w:p>
        </w:tc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主动</w:t>
            </w: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县级</w:t>
            </w:r>
          </w:p>
        </w:tc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825" w:hRule="atLeast"/>
        </w:trPr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left="0" w:leftChars="0" w:firstLine="0" w:firstLineChars="0"/>
              <w:jc w:val="both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u w:val="none"/>
              </w:rPr>
              <w:t>农业生产发展资金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u w:val="none"/>
              </w:rPr>
              <w:t>新型职业农民培育</w:t>
            </w:r>
            <w:r>
              <w:rPr>
                <w:rFonts w:ascii="宋体" w:hAnsi="宋体" w:eastAsia="宋体" w:cs="宋体"/>
                <w:sz w:val="24"/>
                <w:szCs w:val="24"/>
                <w:u w:val="none"/>
              </w:rPr>
              <w:br w:type="textWrapping"/>
            </w:r>
            <w:r>
              <w:rPr>
                <w:rFonts w:ascii="宋体" w:hAnsi="宋体" w:eastAsia="宋体" w:cs="宋体"/>
                <w:sz w:val="24"/>
                <w:szCs w:val="24"/>
                <w:u w:val="none"/>
              </w:rPr>
              <w:br w:type="textWrapping"/>
            </w:r>
          </w:p>
        </w:tc>
        <w:tc>
          <w:tcPr>
            <w:tcW w:w="1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大同市云冈区农业农村局2020年高素质农民培训工作实施方案云农发【2020】115号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同农发〔2020〕99号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信息形成或者变更之日起20个工作日内。法律、法规对政府信息公开的期限另有规定的，从其规定。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云冈区农业农村局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政府门户网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全社会</w:t>
            </w:r>
          </w:p>
        </w:tc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主动</w:t>
            </w: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县级</w:t>
            </w:r>
          </w:p>
        </w:tc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825" w:hRule="atLeast"/>
        </w:trPr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left="0" w:leftChars="0" w:firstLine="0" w:firstLineChars="0"/>
              <w:jc w:val="both"/>
              <w:textAlignment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u w:val="single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u w:val="none"/>
              </w:rPr>
              <w:t>农业生产发展资金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u w:val="none"/>
              </w:rPr>
              <w:t>支持新型农业经营主体</w:t>
            </w:r>
          </w:p>
        </w:tc>
        <w:tc>
          <w:tcPr>
            <w:tcW w:w="1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大同市云冈区农业农村局2020年高素质农民培训工作实施方案云农发【2020】115号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同农发〔2020〕99号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信息形成或者变更之日起20个工作日内。法律、法规对政府信息公开的期限另有规定的，从其规定。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云冈区农业农村局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政府门户网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全社会</w:t>
            </w:r>
          </w:p>
        </w:tc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仿宋_GB2312" w:hAnsi="宋体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主动</w:t>
            </w: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仿宋_GB2312" w:hAnsi="宋体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仿宋_GB2312" w:hAnsi="宋体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县级</w:t>
            </w:r>
          </w:p>
        </w:tc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825" w:hRule="atLeast"/>
        </w:trPr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left="0" w:leftChars="0" w:firstLine="0" w:firstLineChars="0"/>
              <w:jc w:val="both"/>
              <w:textAlignment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u w:val="single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u w:val="none"/>
              </w:rPr>
              <w:t>农业资源及生态保护补助资金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</w:p>
          <w:p>
            <w:pPr>
              <w:widowControl/>
              <w:ind w:firstLine="0" w:firstLineChars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u w:val="none"/>
              </w:rPr>
              <w:t>草原禁牧补助与草畜平衡奖励</w:t>
            </w:r>
          </w:p>
          <w:p>
            <w:pPr>
              <w:widowControl/>
              <w:ind w:firstLine="0" w:firstLineChars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u w:val="none"/>
              </w:rPr>
            </w:pPr>
          </w:p>
          <w:p>
            <w:pPr>
              <w:widowControl/>
              <w:ind w:firstLine="0" w:firstLineChars="0"/>
              <w:jc w:val="center"/>
              <w:textAlignment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政策依据；申请指南：包括补贴对象、补贴范围、补贴标准、申请程序、申请材料、咨询电话、受理单位、办理时限、联系方式等；补贴结果；监督渠道：包括举报电话、地址等。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新一轮草原生态保护补助奖励政策实施指导意见（2016-2020）》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信息形成或者变更之日起20个工作日内。法律、法规对政府信息公开的期限另有规定的，从其规定。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县级农业农村部门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政府网站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全社会</w:t>
            </w:r>
          </w:p>
        </w:tc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主动</w:t>
            </w: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县级</w:t>
            </w:r>
          </w:p>
        </w:tc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825" w:hRule="atLeast"/>
        </w:trPr>
        <w:tc>
          <w:tcPr>
            <w:tcW w:w="10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left="0" w:leftChars="0" w:firstLine="0" w:firstLineChars="0"/>
              <w:jc w:val="both"/>
              <w:textAlignment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u w:val="none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u w:val="none"/>
              </w:rPr>
              <w:t>动物防疫等补助经费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u w:val="none"/>
              </w:rPr>
              <w:t>强制扑杀、强制免疫和养殖环节无害化处理补助</w:t>
            </w:r>
          </w:p>
          <w:p>
            <w:pPr>
              <w:widowControl/>
              <w:ind w:firstLine="0" w:firstLineChars="0"/>
              <w:jc w:val="center"/>
              <w:textAlignment w:val="center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政策依据；申请指南：包括补贴对象、补贴范围、补贴标准、申请程序、申请材料、咨询电话、受理单位、办理时限、联系方式等；补贴结果；监督渠道：包括举报电话、地址等。</w:t>
            </w: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《动物防疫法》、《动物防疫等补助经费管理办法》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信息形成或者变更之日起20个工作日内。法律、法规对政府信息公开的期限另有规定的，从其规定。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县级农业农村部门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政府网站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全社会</w:t>
            </w:r>
          </w:p>
        </w:tc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主动</w:t>
            </w: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县级</w:t>
            </w:r>
          </w:p>
        </w:tc>
        <w:tc>
          <w:tcPr>
            <w:tcW w:w="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仿宋_GB2312" w:hAnsi="宋体" w:eastAsia="仿宋_GB2312" w:cs="仿宋_GB2312"/>
                <w:color w:val="000000"/>
                <w:sz w:val="18"/>
                <w:szCs w:val="18"/>
              </w:rPr>
            </w:pPr>
          </w:p>
        </w:tc>
      </w:tr>
    </w:tbl>
    <w:p>
      <w:pPr>
        <w:ind w:firstLine="0" w:firstLineChars="0"/>
        <w:rPr>
          <w:rFonts w:hint="default" w:ascii="方正小标宋_GBK" w:hAnsi="方正小标宋_GBK" w:eastAsia="方正小标宋_GBK" w:cs="方正小标宋_GBK"/>
          <w:b/>
          <w:bCs/>
          <w:color w:val="000000"/>
          <w:kern w:val="0"/>
          <w:sz w:val="30"/>
          <w:szCs w:val="30"/>
          <w:lang w:val="en-US" w:eastAsia="zh-CN"/>
        </w:rPr>
      </w:pPr>
    </w:p>
    <w:p>
      <w:bookmarkStart w:id="1" w:name="_GoBack"/>
      <w:bookmarkEnd w:id="1"/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6838" w:h="11906" w:orient="landscape"/>
      <w:pgMar w:top="720" w:right="720" w:bottom="720" w:left="720" w:header="851" w:footer="992" w:gutter="0"/>
      <w:cols w:space="425" w:num="1"/>
      <w:docGrid w:type="lines" w:linePitch="381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560"/>
      </w:pPr>
      <w:r>
        <w:separator/>
      </w:r>
    </w:p>
  </w:endnote>
  <w:endnote w:type="continuationSeparator" w:id="1">
    <w:p>
      <w:pPr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560"/>
      </w:pPr>
      <w:r>
        <w:separator/>
      </w:r>
    </w:p>
  </w:footnote>
  <w:footnote w:type="continuationSeparator" w:id="1">
    <w:p>
      <w:pPr>
        <w:ind w:firstLine="56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FADF65C"/>
    <w:multiLevelType w:val="multilevel"/>
    <w:tmpl w:val="0FADF65C"/>
    <w:lvl w:ilvl="0" w:tentative="0">
      <w:start w:val="1"/>
      <w:numFmt w:val="decimal"/>
      <w:pStyle w:val="2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67" w:hanging="567"/>
      </w:pPr>
      <w:rPr>
        <w:rFonts w:hint="default" w:ascii="宋体" w:hAnsi="宋体" w:eastAsia="宋体" w:cs="宋体"/>
      </w:rPr>
    </w:lvl>
    <w:lvl w:ilvl="2" w:tentative="0">
      <w:start w:val="1"/>
      <w:numFmt w:val="decimal"/>
      <w:lvlText w:val="%1.%2.%3."/>
      <w:lvlJc w:val="left"/>
      <w:pPr>
        <w:ind w:left="709" w:hanging="709"/>
      </w:pPr>
      <w:rPr>
        <w:rFonts w:hint="default" w:ascii="宋体" w:hAnsi="宋体" w:eastAsia="宋体" w:cs="宋体"/>
      </w:rPr>
    </w:lvl>
    <w:lvl w:ilvl="3" w:tentative="0">
      <w:start w:val="1"/>
      <w:numFmt w:val="decimal"/>
      <w:lvlText w:val="%1.%2.%3.%4."/>
      <w:lvlJc w:val="left"/>
      <w:pPr>
        <w:ind w:left="850" w:hanging="850"/>
      </w:pPr>
      <w:rPr>
        <w:rFonts w:hint="default" w:ascii="宋体" w:hAnsi="宋体" w:eastAsia="宋体" w:cs="宋体"/>
      </w:rPr>
    </w:lvl>
    <w:lvl w:ilvl="4" w:tentative="0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VkNjQyOWI5NDhiNzg3OWVlMzhhOWY2MGU3ZWFmM2IifQ=="/>
  </w:docVars>
  <w:rsids>
    <w:rsidRoot w:val="729068B7"/>
    <w:rsid w:val="0A4144D5"/>
    <w:rsid w:val="0AB840CC"/>
    <w:rsid w:val="321A0BC7"/>
    <w:rsid w:val="42A76340"/>
    <w:rsid w:val="4E6F6AB9"/>
    <w:rsid w:val="52EE0502"/>
    <w:rsid w:val="583752F6"/>
    <w:rsid w:val="68587C20"/>
    <w:rsid w:val="6D636C43"/>
    <w:rsid w:val="6E633FE2"/>
    <w:rsid w:val="6FE50674"/>
    <w:rsid w:val="729068B7"/>
    <w:rsid w:val="751C65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420" w:firstLineChars="200"/>
      <w:jc w:val="both"/>
    </w:pPr>
    <w:rPr>
      <w:rFonts w:ascii="仿宋" w:hAnsi="仿宋" w:eastAsia="仿宋" w:cstheme="minorBidi"/>
      <w:kern w:val="2"/>
      <w:sz w:val="28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outlineLvl w:val="0"/>
    </w:pPr>
    <w:rPr>
      <w:rFonts w:ascii="宋体" w:hAnsi="宋体" w:eastAsia="宋体" w:cstheme="minorBidi"/>
      <w:b/>
      <w:kern w:val="44"/>
      <w:sz w:val="36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747</Words>
  <Characters>758</Characters>
  <Lines>0</Lines>
  <Paragraphs>0</Paragraphs>
  <TotalTime>3</TotalTime>
  <ScaleCrop>false</ScaleCrop>
  <LinksUpToDate>false</LinksUpToDate>
  <CharactersWithSpaces>759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2022-08-22T02:47:00Z</dcterms:created>
  <dc:creator>WPS_1504497131</dc:creator>
  <cp:lastModifiedBy>十指阳光</cp:lastModifiedBy>
  <dcterms:modified xsi:type="dcterms:W3CDTF">2022-12-15T07:37:21Z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6B9846A55E9740E6908BF9337A53C1C7</vt:lpwstr>
  </property>
</Properties>
</file>